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0B1F9F1F" w:rsidR="00D93CA5" w:rsidRDefault="004C6BDE" w:rsidP="00D93CA5">
      <w:pPr>
        <w:pStyle w:val="Title"/>
      </w:pPr>
      <w:r>
        <w:t xml:space="preserve">Prevention of </w:t>
      </w:r>
      <w:r w:rsidR="009E6CF1">
        <w:t xml:space="preserve">Biological </w:t>
      </w:r>
      <w:r>
        <w:t>Cross</w:t>
      </w:r>
      <w:r w:rsidR="000F3FD5">
        <w:t>-</w:t>
      </w:r>
      <w:r>
        <w:t>Contamination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bookmarkStart w:id="0" w:name="_GoBack"/>
        <w:bookmarkEnd w:id="0"/>
        <w:p w14:paraId="255C3B13" w14:textId="5FC44FEB" w:rsidR="00350616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06372" w:history="1">
            <w:r w:rsidR="00350616" w:rsidRPr="00F069C2">
              <w:rPr>
                <w:rStyle w:val="Hyperlink"/>
                <w:noProof/>
              </w:rPr>
              <w:t>Purpose</w:t>
            </w:r>
            <w:r w:rsidR="00350616">
              <w:rPr>
                <w:noProof/>
                <w:webHidden/>
              </w:rPr>
              <w:tab/>
            </w:r>
            <w:r w:rsidR="00350616">
              <w:rPr>
                <w:noProof/>
                <w:webHidden/>
              </w:rPr>
              <w:fldChar w:fldCharType="begin"/>
            </w:r>
            <w:r w:rsidR="00350616">
              <w:rPr>
                <w:noProof/>
                <w:webHidden/>
              </w:rPr>
              <w:instrText xml:space="preserve"> PAGEREF _Toc7606372 \h </w:instrText>
            </w:r>
            <w:r w:rsidR="00350616">
              <w:rPr>
                <w:noProof/>
                <w:webHidden/>
              </w:rPr>
            </w:r>
            <w:r w:rsidR="00350616">
              <w:rPr>
                <w:noProof/>
                <w:webHidden/>
              </w:rPr>
              <w:fldChar w:fldCharType="separate"/>
            </w:r>
            <w:r w:rsidR="00350616">
              <w:rPr>
                <w:noProof/>
                <w:webHidden/>
              </w:rPr>
              <w:t>1</w:t>
            </w:r>
            <w:r w:rsidR="00350616">
              <w:rPr>
                <w:noProof/>
                <w:webHidden/>
              </w:rPr>
              <w:fldChar w:fldCharType="end"/>
            </w:r>
          </w:hyperlink>
        </w:p>
        <w:p w14:paraId="5E5304E4" w14:textId="7B228F18" w:rsidR="00350616" w:rsidRDefault="0035061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3" w:history="1">
            <w:r w:rsidRPr="00F069C2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F997D" w14:textId="49BD0211" w:rsidR="00350616" w:rsidRDefault="0035061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4" w:history="1">
            <w:r w:rsidRPr="00F069C2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01126" w14:textId="36BB0D79" w:rsidR="00350616" w:rsidRDefault="0035061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5" w:history="1">
            <w:r w:rsidRPr="00F069C2">
              <w:rPr>
                <w:rStyle w:val="Hyperlink"/>
                <w:noProof/>
              </w:rPr>
              <w:t>Supervisors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EB63F" w14:textId="039EB2BB" w:rsidR="00350616" w:rsidRDefault="0035061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6" w:history="1">
            <w:r w:rsidRPr="00F069C2">
              <w:rPr>
                <w:rStyle w:val="Hyperlink"/>
                <w:noProof/>
              </w:rPr>
              <w:t>Workers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267C1" w14:textId="52C33532" w:rsidR="00350616" w:rsidRDefault="0035061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7" w:history="1">
            <w:r w:rsidRPr="00F069C2">
              <w:rPr>
                <w:rStyle w:val="Hyperlink"/>
                <w:noProof/>
              </w:rPr>
              <w:t>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31AED" w14:textId="2FA5A8CD" w:rsidR="00350616" w:rsidRDefault="0035061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8" w:history="1">
            <w:r w:rsidRPr="00F069C2">
              <w:rPr>
                <w:rStyle w:val="Hyperlink"/>
                <w:noProof/>
              </w:rPr>
              <w:t>Laptops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CB856" w14:textId="496DD0EB" w:rsidR="00350616" w:rsidRDefault="0035061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79" w:history="1">
            <w:r w:rsidRPr="00F069C2">
              <w:rPr>
                <w:rStyle w:val="Hyperlink"/>
                <w:noProof/>
              </w:rPr>
              <w:t>Tablets and Cell Phones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88499" w14:textId="7407CE69" w:rsidR="00350616" w:rsidRDefault="0035061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7606380" w:history="1">
            <w:r w:rsidRPr="00F069C2">
              <w:rPr>
                <w:rStyle w:val="Hyperlink"/>
                <w:noProof/>
              </w:rPr>
              <w:t>Procedure for Spill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_Toc7606380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2474C" w14:textId="656D18C5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1" w:name="_Toc7606372"/>
      <w:r>
        <w:t>Purpose</w:t>
      </w:r>
      <w:bookmarkEnd w:id="1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4114F2DA" w14:textId="36CD9330" w:rsidR="00195B65" w:rsidRDefault="00D93CA5" w:rsidP="00195B65">
      <w:pPr>
        <w:pStyle w:val="ListParagraph"/>
        <w:ind w:left="0"/>
      </w:pPr>
      <w:r>
        <w:t xml:space="preserve">The purpose of this SOP is </w:t>
      </w:r>
      <w:r w:rsidR="00195B65">
        <w:t xml:space="preserve">to lay out the responsibilities, equipment and procedures required for </w:t>
      </w:r>
      <w:r w:rsidR="004C6BDE">
        <w:t xml:space="preserve">prevention of </w:t>
      </w:r>
      <w:r w:rsidR="005E649C">
        <w:t xml:space="preserve">biological </w:t>
      </w:r>
      <w:r w:rsidR="004C6BDE">
        <w:t>cross-contamination</w:t>
      </w:r>
      <w:r w:rsidR="00131708">
        <w:t xml:space="preserve">, specifically with reference to portable </w:t>
      </w:r>
      <w:r w:rsidR="000351BF">
        <w:t xml:space="preserve">and personal electronic </w:t>
      </w:r>
      <w:r w:rsidR="00131708">
        <w:t>equipment</w:t>
      </w:r>
      <w:r w:rsidR="00FA7AD2">
        <w:t>.</w:t>
      </w:r>
    </w:p>
    <w:p w14:paraId="52DD43A0" w14:textId="0D7823D9" w:rsidR="00C204C8" w:rsidRDefault="00C204C8" w:rsidP="00195B65">
      <w:pPr>
        <w:pStyle w:val="ListParagraph"/>
        <w:ind w:left="0"/>
      </w:pPr>
    </w:p>
    <w:p w14:paraId="550403B0" w14:textId="02D9C9B6" w:rsidR="00C204C8" w:rsidRPr="005408C1" w:rsidRDefault="00C204C8" w:rsidP="00195B65">
      <w:pPr>
        <w:pStyle w:val="ListParagraph"/>
        <w:ind w:left="0"/>
        <w:rPr>
          <w:b/>
        </w:rPr>
      </w:pPr>
      <w:r w:rsidRPr="005408C1">
        <w:rPr>
          <w:b/>
        </w:rPr>
        <w:t xml:space="preserve">The Presidential Biosafety Advisory Committee does not recommend the use of </w:t>
      </w:r>
      <w:r w:rsidRPr="005408C1">
        <w:rPr>
          <w:b/>
          <w:u w:val="single"/>
        </w:rPr>
        <w:t>personal</w:t>
      </w:r>
      <w:r w:rsidRPr="005408C1">
        <w:rPr>
          <w:b/>
        </w:rPr>
        <w:t xml:space="preserve"> </w:t>
      </w:r>
      <w:r w:rsidR="004B4540" w:rsidRPr="005408C1">
        <w:rPr>
          <w:b/>
        </w:rPr>
        <w:t xml:space="preserve">electronic </w:t>
      </w:r>
      <w:r w:rsidR="000351BF">
        <w:rPr>
          <w:b/>
        </w:rPr>
        <w:t>equipment</w:t>
      </w:r>
      <w:r w:rsidRPr="005408C1">
        <w:rPr>
          <w:b/>
        </w:rPr>
        <w:t xml:space="preserve"> in laboratory wet-work areas.</w:t>
      </w:r>
    </w:p>
    <w:p w14:paraId="12D5E22F" w14:textId="77777777" w:rsidR="00D93CA5" w:rsidRDefault="00D93CA5" w:rsidP="005C7C59">
      <w:pPr>
        <w:pStyle w:val="Heading1"/>
        <w:spacing w:before="0" w:line="240" w:lineRule="auto"/>
      </w:pPr>
      <w:bookmarkStart w:id="2" w:name="_Toc7606373"/>
      <w:r>
        <w:t>Scope</w:t>
      </w:r>
      <w:bookmarkEnd w:id="2"/>
    </w:p>
    <w:p w14:paraId="3252E297" w14:textId="65BA67FE" w:rsidR="00D93CA5" w:rsidRDefault="00D93CA5" w:rsidP="005C7C59">
      <w:pPr>
        <w:spacing w:after="0" w:line="240" w:lineRule="auto"/>
      </w:pPr>
      <w:r>
        <w:t xml:space="preserve">This SOP applies to all </w:t>
      </w:r>
      <w:r w:rsidR="00076D54">
        <w:t>persons</w:t>
      </w:r>
      <w:r w:rsidR="00144249">
        <w:t xml:space="preserve"> and their Supervisors</w:t>
      </w:r>
      <w:r w:rsidR="00076D54">
        <w:t xml:space="preserve"> in any </w:t>
      </w:r>
      <w:r w:rsidR="00D97B34">
        <w:t xml:space="preserve">biological </w:t>
      </w:r>
      <w:r w:rsidR="00076D54">
        <w:t>containment zone</w:t>
      </w:r>
      <w:r w:rsidR="00BD0593">
        <w:t xml:space="preserve"> where portable</w:t>
      </w:r>
      <w:r w:rsidR="00E06D99">
        <w:t xml:space="preserve"> electronic</w:t>
      </w:r>
      <w:r w:rsidR="00BD0593">
        <w:t xml:space="preserve"> equipment is </w:t>
      </w:r>
      <w:r w:rsidR="00EE1AA5">
        <w:t>used</w:t>
      </w:r>
      <w:r w:rsidR="00076D54">
        <w:t>.</w:t>
      </w:r>
    </w:p>
    <w:p w14:paraId="3B347B2D" w14:textId="77777777" w:rsidR="00D97B34" w:rsidRDefault="00D97B34" w:rsidP="005C7C59">
      <w:pPr>
        <w:spacing w:after="0" w:line="240" w:lineRule="auto"/>
      </w:pPr>
    </w:p>
    <w:p w14:paraId="149F31D6" w14:textId="32B20CCF" w:rsidR="00D97B34" w:rsidRDefault="00D97B34" w:rsidP="005C7C59">
      <w:pPr>
        <w:spacing w:after="0" w:line="240" w:lineRule="auto"/>
      </w:pPr>
      <w:r>
        <w:t xml:space="preserve">This SOP does not </w:t>
      </w:r>
      <w:r w:rsidR="00B97089">
        <w:t>apply to chemical or radiological cross-contamination. For guidance, please contact:</w:t>
      </w:r>
    </w:p>
    <w:p w14:paraId="73A22E5F" w14:textId="66E3648E" w:rsidR="00B97089" w:rsidRDefault="00350616" w:rsidP="00B97089">
      <w:pPr>
        <w:pStyle w:val="ListParagraph"/>
        <w:numPr>
          <w:ilvl w:val="0"/>
          <w:numId w:val="48"/>
        </w:numPr>
        <w:spacing w:after="0" w:line="240" w:lineRule="auto"/>
      </w:pPr>
      <w:hyperlink r:id="rId8" w:history="1">
        <w:r w:rsidR="00B97089" w:rsidRPr="007B0D97">
          <w:rPr>
            <w:rStyle w:val="Hyperlink"/>
          </w:rPr>
          <w:t>fhsso@mcmaster.ca</w:t>
        </w:r>
      </w:hyperlink>
      <w:r w:rsidR="000B2FC8">
        <w:t xml:space="preserve"> for chemical cross-contamination guidance within FHS</w:t>
      </w:r>
    </w:p>
    <w:p w14:paraId="12D0849D" w14:textId="5385A36C" w:rsidR="00B97089" w:rsidRDefault="00350616" w:rsidP="00B97089">
      <w:pPr>
        <w:pStyle w:val="ListParagraph"/>
        <w:numPr>
          <w:ilvl w:val="0"/>
          <w:numId w:val="48"/>
        </w:numPr>
        <w:spacing w:after="0" w:line="240" w:lineRule="auto"/>
      </w:pPr>
      <w:hyperlink r:id="rId9" w:history="1">
        <w:r w:rsidR="00B97089" w:rsidRPr="007B0D97">
          <w:rPr>
            <w:rStyle w:val="Hyperlink"/>
          </w:rPr>
          <w:t>eohss@mcmaster.ca</w:t>
        </w:r>
      </w:hyperlink>
      <w:r w:rsidR="000B2FC8">
        <w:t xml:space="preserve"> for chemical cross-contamination guidance in all other Faculties</w:t>
      </w:r>
    </w:p>
    <w:p w14:paraId="7A27329E" w14:textId="33154F08" w:rsidR="00B97089" w:rsidRPr="000B2FC8" w:rsidRDefault="00350616" w:rsidP="000B2FC8">
      <w:pPr>
        <w:pStyle w:val="ListParagraph"/>
        <w:numPr>
          <w:ilvl w:val="0"/>
          <w:numId w:val="48"/>
        </w:numPr>
      </w:pPr>
      <w:hyperlink r:id="rId10" w:history="1">
        <w:r w:rsidR="000B2FC8" w:rsidRPr="000B2FC8">
          <w:rPr>
            <w:rStyle w:val="Hyperlink"/>
          </w:rPr>
          <w:t>hphys@mcmaster.ca</w:t>
        </w:r>
      </w:hyperlink>
      <w:r w:rsidR="000B2FC8">
        <w:t xml:space="preserve"> for </w:t>
      </w:r>
      <w:r w:rsidR="001E4B1D">
        <w:t>radiological cross-contamination guidance</w:t>
      </w:r>
    </w:p>
    <w:p w14:paraId="30CB9991" w14:textId="77777777" w:rsidR="00D93CA5" w:rsidRDefault="00D93CA5" w:rsidP="00D93CA5">
      <w:pPr>
        <w:pStyle w:val="Heading1"/>
      </w:pPr>
      <w:bookmarkStart w:id="3" w:name="_Toc7606374"/>
      <w:r>
        <w:lastRenderedPageBreak/>
        <w:t>Responsibilities</w:t>
      </w:r>
      <w:bookmarkEnd w:id="3"/>
    </w:p>
    <w:p w14:paraId="0DCF19EF" w14:textId="79E6E916" w:rsidR="00D93CA5" w:rsidRDefault="00D93CA5" w:rsidP="00D93CA5">
      <w:pPr>
        <w:pStyle w:val="Heading2"/>
      </w:pPr>
      <w:bookmarkStart w:id="4" w:name="_Toc7606375"/>
      <w:r>
        <w:t>Supervisors</w:t>
      </w:r>
      <w:bookmarkEnd w:id="4"/>
    </w:p>
    <w:p w14:paraId="5D229986" w14:textId="77777777" w:rsidR="00D93CA5" w:rsidRDefault="00D93CA5">
      <w:r>
        <w:t>Supervisors are responsible for:</w:t>
      </w:r>
    </w:p>
    <w:p w14:paraId="0B0B7442" w14:textId="76EAC323" w:rsidR="00195B65" w:rsidRPr="00CE1B3F" w:rsidRDefault="00195B65" w:rsidP="00195B65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>Reviewing this SOP on a</w:t>
      </w:r>
      <w:r>
        <w:rPr>
          <w:b/>
        </w:rPr>
        <w:t xml:space="preserve"> regular</w:t>
      </w:r>
      <w:r w:rsidRPr="0088198D">
        <w:rPr>
          <w:b/>
        </w:rPr>
        <w:t xml:space="preserve"> basis. Review is to consider and mitigate the risks of spill, loss of containment</w:t>
      </w:r>
      <w:r w:rsidR="00BE4284">
        <w:rPr>
          <w:b/>
        </w:rPr>
        <w:t xml:space="preserve">, </w:t>
      </w:r>
      <w:r w:rsidR="005E649C">
        <w:rPr>
          <w:b/>
        </w:rPr>
        <w:t xml:space="preserve">biological </w:t>
      </w:r>
      <w:r w:rsidR="00BE4284">
        <w:rPr>
          <w:b/>
        </w:rPr>
        <w:t>cross-contamination</w:t>
      </w:r>
      <w:r w:rsidRPr="0088198D">
        <w:rPr>
          <w:b/>
        </w:rPr>
        <w:t xml:space="preserve">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5177B801" w14:textId="15582B94" w:rsidR="00195B65" w:rsidRDefault="00BD67D5" w:rsidP="00195B65">
      <w:pPr>
        <w:pStyle w:val="ListParagraph"/>
        <w:numPr>
          <w:ilvl w:val="0"/>
          <w:numId w:val="1"/>
        </w:numPr>
      </w:pPr>
      <w:r>
        <w:t xml:space="preserve">Communicating clearly any local policies related to use of personal </w:t>
      </w:r>
      <w:r w:rsidR="00F036F9">
        <w:t xml:space="preserve">or portable </w:t>
      </w:r>
      <w:r>
        <w:t xml:space="preserve">electronic </w:t>
      </w:r>
      <w:r w:rsidR="000351BF">
        <w:t>equipment</w:t>
      </w:r>
      <w:r>
        <w:t xml:space="preserve"> within the laboratory</w:t>
      </w:r>
      <w:r w:rsidR="00C204C8">
        <w:t xml:space="preserve"> or within laboratory wet-work areas.</w:t>
      </w:r>
    </w:p>
    <w:p w14:paraId="1D33C3F7" w14:textId="4F0AC8C7" w:rsidR="00133020" w:rsidRDefault="00133020" w:rsidP="00195B65">
      <w:pPr>
        <w:pStyle w:val="ListParagraph"/>
        <w:numPr>
          <w:ilvl w:val="0"/>
          <w:numId w:val="1"/>
        </w:numPr>
      </w:pPr>
      <w:r>
        <w:t>Ensuring any facility-specific policies are communicated to and followed by their workers.</w:t>
      </w:r>
    </w:p>
    <w:p w14:paraId="3EB9E6E2" w14:textId="5E0E4D7F" w:rsidR="00466F56" w:rsidRDefault="00466F56" w:rsidP="00195B65">
      <w:pPr>
        <w:pStyle w:val="ListParagraph"/>
        <w:numPr>
          <w:ilvl w:val="0"/>
          <w:numId w:val="1"/>
        </w:numPr>
      </w:pPr>
      <w:r>
        <w:t>Ensure the Desk Area SOP is implemented within their area of responsibility.</w:t>
      </w:r>
    </w:p>
    <w:p w14:paraId="65BFDBF3" w14:textId="0C6C30D7" w:rsidR="0094275D" w:rsidRDefault="0094275D" w:rsidP="00195B65">
      <w:pPr>
        <w:pStyle w:val="ListParagraph"/>
        <w:numPr>
          <w:ilvl w:val="0"/>
          <w:numId w:val="1"/>
        </w:numPr>
      </w:pPr>
      <w:r>
        <w:t xml:space="preserve">Assessing the requirement for any procedure which involves </w:t>
      </w:r>
      <w:r w:rsidR="005E649C">
        <w:t>bio</w:t>
      </w:r>
      <w:r>
        <w:t>hazardous materials</w:t>
      </w:r>
      <w:r w:rsidR="00B866AD">
        <w:t xml:space="preserve"> to include portable</w:t>
      </w:r>
      <w:r w:rsidR="00A37C5D">
        <w:t xml:space="preserve"> electronic</w:t>
      </w:r>
      <w:r w:rsidR="00B866AD">
        <w:t xml:space="preserve"> equipment.</w:t>
      </w:r>
    </w:p>
    <w:p w14:paraId="551CE34C" w14:textId="4CB07002" w:rsidR="00D663E1" w:rsidRDefault="00D663E1" w:rsidP="00195B65">
      <w:pPr>
        <w:pStyle w:val="ListParagraph"/>
        <w:numPr>
          <w:ilvl w:val="0"/>
          <w:numId w:val="1"/>
        </w:numPr>
      </w:pPr>
      <w:r>
        <w:t xml:space="preserve">Providing a standard operating procedure related to </w:t>
      </w:r>
      <w:r w:rsidR="00B142E7">
        <w:t>decontamination</w:t>
      </w:r>
      <w:r>
        <w:t xml:space="preserve"> of any </w:t>
      </w:r>
      <w:r w:rsidR="00185E66">
        <w:t xml:space="preserve">specific </w:t>
      </w:r>
      <w:r>
        <w:t xml:space="preserve">piece of portable </w:t>
      </w:r>
      <w:r w:rsidR="00A37C5D">
        <w:t xml:space="preserve">electronic </w:t>
      </w:r>
      <w:r>
        <w:t>equipment used</w:t>
      </w:r>
      <w:r w:rsidR="00B142E7">
        <w:t xml:space="preserve"> in any procedure which involves </w:t>
      </w:r>
      <w:r w:rsidR="005E649C">
        <w:t>bio</w:t>
      </w:r>
      <w:r w:rsidR="00B142E7">
        <w:t>hazardous materials.</w:t>
      </w:r>
    </w:p>
    <w:p w14:paraId="50DC1B9D" w14:textId="77777777" w:rsidR="00195B65" w:rsidRDefault="00195B65" w:rsidP="00195B6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steps of this SOP.</w:t>
      </w:r>
    </w:p>
    <w:p w14:paraId="17813603" w14:textId="77777777" w:rsidR="00D93CA5" w:rsidRDefault="00D93CA5" w:rsidP="00D93CA5">
      <w:pPr>
        <w:pStyle w:val="Heading2"/>
      </w:pPr>
      <w:bookmarkStart w:id="5" w:name="_Toc7606376"/>
      <w:r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48294F7A" w14:textId="373CC34C" w:rsidR="00195B65" w:rsidRDefault="00195B65" w:rsidP="00195B65">
      <w:pPr>
        <w:pStyle w:val="ListParagraph"/>
        <w:numPr>
          <w:ilvl w:val="0"/>
          <w:numId w:val="2"/>
        </w:numPr>
      </w:pPr>
      <w:bookmarkStart w:id="6" w:name="_Toc444082317"/>
      <w:r>
        <w:t>Following</w:t>
      </w:r>
      <w:r w:rsidR="00144249">
        <w:t xml:space="preserve"> this SOP as approved by their S</w:t>
      </w:r>
      <w:r>
        <w:t>upervisor</w:t>
      </w:r>
      <w:r w:rsidR="00EC7B20">
        <w:t>.</w:t>
      </w:r>
    </w:p>
    <w:p w14:paraId="311CFF65" w14:textId="183A83C2" w:rsidR="009779D5" w:rsidRDefault="007E2A93" w:rsidP="00195B65">
      <w:pPr>
        <w:pStyle w:val="ListParagraph"/>
        <w:numPr>
          <w:ilvl w:val="0"/>
          <w:numId w:val="2"/>
        </w:numPr>
      </w:pPr>
      <w:r>
        <w:t xml:space="preserve">Disclosing the use of any personal electronic </w:t>
      </w:r>
      <w:r w:rsidR="002D5389">
        <w:t>equipment</w:t>
      </w:r>
      <w:r>
        <w:t xml:space="preserve"> within the laboratory </w:t>
      </w:r>
      <w:r w:rsidR="00013CAD">
        <w:t>or laboratory wet-work areas to their supervisor.</w:t>
      </w:r>
    </w:p>
    <w:p w14:paraId="7850AF1B" w14:textId="5EE731FA" w:rsidR="00013CAD" w:rsidRDefault="003C5AC9" w:rsidP="00195B65">
      <w:pPr>
        <w:pStyle w:val="ListParagraph"/>
        <w:numPr>
          <w:ilvl w:val="0"/>
          <w:numId w:val="2"/>
        </w:numPr>
      </w:pPr>
      <w:r>
        <w:t xml:space="preserve">Ensuring any created SOP related to decontamination of personal electronic </w:t>
      </w:r>
      <w:r w:rsidR="002D5389">
        <w:t>equipment</w:t>
      </w:r>
      <w:r w:rsidR="00442DB4">
        <w:t xml:space="preserve"> complies with </w:t>
      </w:r>
      <w:r w:rsidR="002D5389">
        <w:t>their</w:t>
      </w:r>
      <w:r w:rsidR="00442DB4">
        <w:t xml:space="preserve"> manufacturer’s recommendations for cleaning</w:t>
      </w:r>
      <w:r w:rsidR="00194896">
        <w:t xml:space="preserve"> of their equipment.</w:t>
      </w:r>
    </w:p>
    <w:p w14:paraId="59B7A655" w14:textId="51A948AC" w:rsidR="00C25CCB" w:rsidRDefault="00C25CCB" w:rsidP="00195B65">
      <w:pPr>
        <w:pStyle w:val="ListParagraph"/>
        <w:numPr>
          <w:ilvl w:val="0"/>
          <w:numId w:val="2"/>
        </w:numPr>
      </w:pPr>
      <w:r>
        <w:t>Following SOPs related to the use and decontamination of portable and personal electronic equipment</w:t>
      </w:r>
      <w:r w:rsidR="000351BF">
        <w:t>.</w:t>
      </w:r>
    </w:p>
    <w:p w14:paraId="6655C9E5" w14:textId="313DC697" w:rsidR="00AB22E5" w:rsidRDefault="00AB22E5" w:rsidP="00195B65">
      <w:pPr>
        <w:pStyle w:val="ListParagraph"/>
        <w:numPr>
          <w:ilvl w:val="0"/>
          <w:numId w:val="2"/>
        </w:numPr>
      </w:pPr>
      <w:r>
        <w:t xml:space="preserve">Reporting spills and </w:t>
      </w:r>
      <w:r w:rsidR="005E649C">
        <w:t xml:space="preserve">biological </w:t>
      </w:r>
      <w:r>
        <w:t>contamination of portable electronic equipment to their supervisor.</w:t>
      </w:r>
    </w:p>
    <w:p w14:paraId="05E7458C" w14:textId="4D649C41" w:rsidR="00EC7B20" w:rsidRDefault="0094275D" w:rsidP="000305A9">
      <w:pPr>
        <w:pStyle w:val="Heading1"/>
      </w:pPr>
      <w:bookmarkStart w:id="7" w:name="_Toc7606377"/>
      <w:r>
        <w:t>Equipment</w:t>
      </w:r>
      <w:bookmarkEnd w:id="7"/>
    </w:p>
    <w:p w14:paraId="357AADCD" w14:textId="0B98B4B3" w:rsidR="000F6FC9" w:rsidRDefault="000F6FC9" w:rsidP="00E50630">
      <w:pPr>
        <w:pStyle w:val="Heading2"/>
      </w:pPr>
      <w:bookmarkStart w:id="8" w:name="_Toc7606378"/>
      <w:r>
        <w:t>Laptops</w:t>
      </w:r>
      <w:bookmarkEnd w:id="8"/>
    </w:p>
    <w:p w14:paraId="7C58EE05" w14:textId="534A00C3" w:rsidR="00F93AD0" w:rsidRDefault="005654EE" w:rsidP="00F93AD0">
      <w:pPr>
        <w:pStyle w:val="ListParagraph"/>
        <w:numPr>
          <w:ilvl w:val="0"/>
          <w:numId w:val="45"/>
        </w:numPr>
      </w:pPr>
      <w:r>
        <w:t xml:space="preserve">Laptops are to be attached to </w:t>
      </w:r>
      <w:r w:rsidR="004D62E1">
        <w:t xml:space="preserve">research </w:t>
      </w:r>
      <w:r>
        <w:t xml:space="preserve">equipment in such a manner to minimize the risk of </w:t>
      </w:r>
      <w:r w:rsidR="005E649C">
        <w:t xml:space="preserve">biological </w:t>
      </w:r>
      <w:r w:rsidR="000D6830">
        <w:t xml:space="preserve">contamination, </w:t>
      </w:r>
      <w:r>
        <w:t>damage or accident</w:t>
      </w:r>
      <w:r w:rsidR="00014499">
        <w:t xml:space="preserve"> to equipment or personnel.</w:t>
      </w:r>
    </w:p>
    <w:p w14:paraId="73C8B54F" w14:textId="102309DD" w:rsidR="00014499" w:rsidRDefault="00014499" w:rsidP="00F93AD0">
      <w:pPr>
        <w:pStyle w:val="ListParagraph"/>
        <w:numPr>
          <w:ilvl w:val="0"/>
          <w:numId w:val="45"/>
        </w:numPr>
      </w:pPr>
      <w:r>
        <w:t>Laptop keyboards are to be covered with impermeable material which prevents leakage of liquids into the</w:t>
      </w:r>
      <w:r w:rsidR="00FA3275">
        <w:t xml:space="preserve"> chassis.</w:t>
      </w:r>
    </w:p>
    <w:p w14:paraId="2B3E0E5F" w14:textId="42E985EF" w:rsidR="00FA3275" w:rsidRDefault="00FA3275" w:rsidP="00F93AD0">
      <w:pPr>
        <w:pStyle w:val="ListParagraph"/>
        <w:numPr>
          <w:ilvl w:val="0"/>
          <w:numId w:val="45"/>
        </w:numPr>
      </w:pPr>
      <w:r>
        <w:t xml:space="preserve">Laptop </w:t>
      </w:r>
      <w:r w:rsidR="00E50630">
        <w:t>surfaces</w:t>
      </w:r>
      <w:r>
        <w:t xml:space="preserve"> are to be cleanable with is</w:t>
      </w:r>
      <w:r w:rsidR="00B41261">
        <w:t>o</w:t>
      </w:r>
      <w:r>
        <w:t>propanol.</w:t>
      </w:r>
    </w:p>
    <w:p w14:paraId="7555BC54" w14:textId="1CABDC00" w:rsidR="00E50630" w:rsidRDefault="00E50630" w:rsidP="00F93AD0">
      <w:pPr>
        <w:pStyle w:val="ListParagraph"/>
        <w:numPr>
          <w:ilvl w:val="0"/>
          <w:numId w:val="45"/>
        </w:numPr>
      </w:pPr>
      <w:r>
        <w:t>Spills to laptops</w:t>
      </w:r>
      <w:r w:rsidR="00517773">
        <w:t xml:space="preserve"> are to be reported to the supervisor immediately.</w:t>
      </w:r>
    </w:p>
    <w:p w14:paraId="0823A567" w14:textId="0B953607" w:rsidR="00D901FE" w:rsidRDefault="00D901FE" w:rsidP="00F93AD0">
      <w:pPr>
        <w:pStyle w:val="ListParagraph"/>
        <w:numPr>
          <w:ilvl w:val="0"/>
          <w:numId w:val="45"/>
        </w:numPr>
      </w:pPr>
      <w:r>
        <w:lastRenderedPageBreak/>
        <w:t>Contaminated laptops are to be reported to the Biosafety Off</w:t>
      </w:r>
      <w:r w:rsidR="00ED1B37">
        <w:t>ice and stored in a biological safety cabinet</w:t>
      </w:r>
      <w:r w:rsidR="008A0C98">
        <w:t xml:space="preserve"> or gasket</w:t>
      </w:r>
      <w:r w:rsidR="00CB60E5">
        <w:t>-fitted leakproof container</w:t>
      </w:r>
      <w:r w:rsidR="00ED1B37">
        <w:t xml:space="preserve"> until disassembled and decontaminated.</w:t>
      </w:r>
    </w:p>
    <w:p w14:paraId="52ECDEF2" w14:textId="7BF02F4E" w:rsidR="00ED1B37" w:rsidRDefault="00ED1B37" w:rsidP="00ED1B37">
      <w:pPr>
        <w:pStyle w:val="Heading2"/>
      </w:pPr>
      <w:bookmarkStart w:id="9" w:name="_Toc7606379"/>
      <w:r>
        <w:t>Tablets and Cell Phones</w:t>
      </w:r>
      <w:bookmarkEnd w:id="9"/>
    </w:p>
    <w:bookmarkEnd w:id="6"/>
    <w:p w14:paraId="04CDE6D1" w14:textId="28F5F490" w:rsidR="000F6FC9" w:rsidRDefault="00CB60E5" w:rsidP="00CB60E5">
      <w:pPr>
        <w:pStyle w:val="ListParagraph"/>
        <w:numPr>
          <w:ilvl w:val="0"/>
          <w:numId w:val="46"/>
        </w:numPr>
      </w:pPr>
      <w:r>
        <w:t xml:space="preserve">Cellphones and tablets are to be attached to research equipment in such a manner to minimize the risk of </w:t>
      </w:r>
      <w:r w:rsidR="005E649C">
        <w:t xml:space="preserve">biological </w:t>
      </w:r>
      <w:r w:rsidR="000D6830">
        <w:t xml:space="preserve">contamination, </w:t>
      </w:r>
      <w:r>
        <w:t>damage or accident to equipment or personnel.</w:t>
      </w:r>
    </w:p>
    <w:p w14:paraId="79A39A12" w14:textId="1B0A9B5E" w:rsidR="00CB60E5" w:rsidRDefault="009E0815" w:rsidP="00CB60E5">
      <w:pPr>
        <w:pStyle w:val="ListParagraph"/>
        <w:numPr>
          <w:ilvl w:val="0"/>
          <w:numId w:val="46"/>
        </w:numPr>
      </w:pPr>
      <w:r>
        <w:t>Cellphones and tablets are to be removed from their cases</w:t>
      </w:r>
      <w:r w:rsidR="007A68C3">
        <w:t>.</w:t>
      </w:r>
    </w:p>
    <w:p w14:paraId="00F722D2" w14:textId="162289A4" w:rsidR="007A68C3" w:rsidRDefault="007A68C3" w:rsidP="00CB60E5">
      <w:pPr>
        <w:pStyle w:val="ListParagraph"/>
        <w:numPr>
          <w:ilvl w:val="0"/>
          <w:numId w:val="46"/>
        </w:numPr>
      </w:pPr>
      <w:r>
        <w:t>Cellphones and tablets are to be placed or wrapped in clear plastic in such a manner which allows for use of the equipment as planned.</w:t>
      </w:r>
    </w:p>
    <w:p w14:paraId="460705FC" w14:textId="16B72C46" w:rsidR="000D6830" w:rsidRDefault="000D6830" w:rsidP="00CB60E5">
      <w:pPr>
        <w:pStyle w:val="ListParagraph"/>
        <w:numPr>
          <w:ilvl w:val="0"/>
          <w:numId w:val="46"/>
        </w:numPr>
      </w:pPr>
      <w:r>
        <w:t>Cellphone and tablet surfaces to be cleanable with isopropanol.</w:t>
      </w:r>
    </w:p>
    <w:p w14:paraId="0C2A3AC5" w14:textId="15884788" w:rsidR="000D6830" w:rsidRDefault="000D6830" w:rsidP="00CB60E5">
      <w:pPr>
        <w:pStyle w:val="ListParagraph"/>
        <w:numPr>
          <w:ilvl w:val="0"/>
          <w:numId w:val="46"/>
        </w:numPr>
      </w:pPr>
      <w:r>
        <w:t>Spills to cellphones and tablets to be reported to the supervisor immediately.</w:t>
      </w:r>
    </w:p>
    <w:p w14:paraId="282CEFEB" w14:textId="6F86DE15" w:rsidR="00EB7841" w:rsidRDefault="00EB7841" w:rsidP="00CB60E5">
      <w:pPr>
        <w:pStyle w:val="ListParagraph"/>
        <w:numPr>
          <w:ilvl w:val="0"/>
          <w:numId w:val="46"/>
        </w:numPr>
      </w:pPr>
      <w:r>
        <w:t xml:space="preserve">Contaminated cellphones or tablets cannot be </w:t>
      </w:r>
      <w:r w:rsidR="004E757D">
        <w:t>decontaminated.</w:t>
      </w:r>
    </w:p>
    <w:p w14:paraId="63A9FAF3" w14:textId="4A6FA8FD" w:rsidR="004E757D" w:rsidRDefault="004E757D" w:rsidP="004E757D">
      <w:pPr>
        <w:pStyle w:val="Heading1"/>
      </w:pPr>
      <w:bookmarkStart w:id="10" w:name="_Toc7606380"/>
      <w:r>
        <w:t>Procedure for Spill</w:t>
      </w:r>
      <w:bookmarkEnd w:id="10"/>
    </w:p>
    <w:p w14:paraId="38B2D75D" w14:textId="1D38693C" w:rsidR="004E757D" w:rsidRDefault="00AB22E5" w:rsidP="00AB22E5">
      <w:pPr>
        <w:pStyle w:val="ListParagraph"/>
        <w:numPr>
          <w:ilvl w:val="0"/>
          <w:numId w:val="47"/>
        </w:numPr>
      </w:pPr>
      <w:r>
        <w:t xml:space="preserve">Adapt this procedure for your </w:t>
      </w:r>
      <w:r w:rsidR="00AC1D95">
        <w:t>location.</w:t>
      </w:r>
    </w:p>
    <w:p w14:paraId="1829D467" w14:textId="711D1C91" w:rsidR="00AC1D95" w:rsidRDefault="00AC1D95" w:rsidP="00AB22E5">
      <w:pPr>
        <w:pStyle w:val="ListParagraph"/>
        <w:numPr>
          <w:ilvl w:val="0"/>
          <w:numId w:val="47"/>
        </w:numPr>
      </w:pPr>
      <w:r>
        <w:t xml:space="preserve">Immediately assess for personal </w:t>
      </w:r>
      <w:r w:rsidR="009E6CF1">
        <w:t xml:space="preserve">biological </w:t>
      </w:r>
      <w:r>
        <w:t>contamination or exposure.</w:t>
      </w:r>
      <w:r w:rsidR="007C2546">
        <w:t xml:space="preserve"> Follow exposure protocols.</w:t>
      </w:r>
      <w:r>
        <w:t xml:space="preserve"> </w:t>
      </w:r>
    </w:p>
    <w:p w14:paraId="2469E734" w14:textId="4A4DEBE5" w:rsidR="003409E0" w:rsidRDefault="003409E0" w:rsidP="00AB22E5">
      <w:pPr>
        <w:pStyle w:val="ListParagraph"/>
        <w:numPr>
          <w:ilvl w:val="0"/>
          <w:numId w:val="47"/>
        </w:numPr>
      </w:pPr>
      <w:r>
        <w:t xml:space="preserve">Immediately </w:t>
      </w:r>
      <w:r w:rsidR="007C3437">
        <w:t>disconnect the equipment and power off.</w:t>
      </w:r>
    </w:p>
    <w:p w14:paraId="64DB224B" w14:textId="71A6DF88" w:rsidR="00AC1D95" w:rsidRDefault="00AC1D95" w:rsidP="00AB22E5">
      <w:pPr>
        <w:pStyle w:val="ListParagraph"/>
        <w:numPr>
          <w:ilvl w:val="0"/>
          <w:numId w:val="47"/>
        </w:numPr>
      </w:pPr>
      <w:r>
        <w:t>Immediately cover any droplets</w:t>
      </w:r>
      <w:r w:rsidR="003409E0">
        <w:t xml:space="preserve"> with paper towel.</w:t>
      </w:r>
    </w:p>
    <w:p w14:paraId="29DA4D3C" w14:textId="08CC1A34" w:rsidR="003409E0" w:rsidRDefault="003409E0" w:rsidP="00AB22E5">
      <w:pPr>
        <w:pStyle w:val="ListParagraph"/>
        <w:numPr>
          <w:ilvl w:val="0"/>
          <w:numId w:val="47"/>
        </w:numPr>
      </w:pPr>
      <w:r>
        <w:t>Using is</w:t>
      </w:r>
      <w:r w:rsidR="001406AF">
        <w:t>o</w:t>
      </w:r>
      <w:r>
        <w:t>propanol moistened paper towels, wipe all surfaces of the equipment, discarding the paper towels into a biohazard waste receptacle.</w:t>
      </w:r>
      <w:r w:rsidR="0024033C">
        <w:t xml:space="preserve"> Repeat this at minimum, three times on all surfaces.</w:t>
      </w:r>
    </w:p>
    <w:p w14:paraId="2D26E391" w14:textId="1FD79DC8" w:rsidR="003409E0" w:rsidRDefault="003409E0" w:rsidP="00AB22E5">
      <w:pPr>
        <w:pStyle w:val="ListParagraph"/>
        <w:numPr>
          <w:ilvl w:val="0"/>
          <w:numId w:val="47"/>
        </w:numPr>
      </w:pPr>
      <w:r>
        <w:t>If warranted, bring the portable equipment to a biological safety cabinet and directly spray the equipment with isopropanol.</w:t>
      </w:r>
    </w:p>
    <w:p w14:paraId="6CCBE8F7" w14:textId="34A4802F" w:rsidR="003409E0" w:rsidRPr="000F6FC9" w:rsidRDefault="0024033C" w:rsidP="00AB22E5">
      <w:pPr>
        <w:pStyle w:val="ListParagraph"/>
        <w:numPr>
          <w:ilvl w:val="0"/>
          <w:numId w:val="47"/>
        </w:numPr>
      </w:pPr>
      <w:r>
        <w:t xml:space="preserve">If it is suspected that the contaminant </w:t>
      </w:r>
      <w:r w:rsidR="009673E4">
        <w:t>has gone inside the equipment, contain the equipment and contact the Biosafety Office for next steps.</w:t>
      </w:r>
    </w:p>
    <w:sectPr w:rsidR="003409E0" w:rsidRPr="000F6FC9" w:rsidSect="00D62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992C" w14:textId="77777777" w:rsidR="00D11545" w:rsidRDefault="00D11545" w:rsidP="00F77950">
      <w:pPr>
        <w:spacing w:after="0" w:line="240" w:lineRule="auto"/>
      </w:pPr>
      <w:r>
        <w:separator/>
      </w:r>
    </w:p>
  </w:endnote>
  <w:endnote w:type="continuationSeparator" w:id="0">
    <w:p w14:paraId="327BFC79" w14:textId="77777777" w:rsidR="00D11545" w:rsidRDefault="00D11545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294C" w14:textId="77777777" w:rsidR="00350616" w:rsidRDefault="00350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9BBD" w14:textId="12447B78" w:rsidR="00EC7B20" w:rsidRPr="00F77950" w:rsidRDefault="00EC7B20" w:rsidP="008B2F89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>
      <w:rPr>
        <w:sz w:val="18"/>
        <w:szCs w:val="18"/>
        <w:lang w:val="en-US"/>
      </w:rPr>
      <w:t>7</w:t>
    </w:r>
    <w:r w:rsidR="00131708">
      <w:rPr>
        <w:sz w:val="18"/>
        <w:szCs w:val="18"/>
        <w:lang w:val="en-US"/>
      </w:rPr>
      <w:t xml:space="preserve">2 Prevention of </w:t>
    </w:r>
    <w:r w:rsidR="005E649C">
      <w:rPr>
        <w:sz w:val="18"/>
        <w:szCs w:val="18"/>
        <w:lang w:val="en-US"/>
      </w:rPr>
      <w:t xml:space="preserve">Biological </w:t>
    </w:r>
    <w:r w:rsidR="00131708">
      <w:rPr>
        <w:sz w:val="18"/>
        <w:szCs w:val="18"/>
        <w:lang w:val="en-US"/>
      </w:rPr>
      <w:t>Cross Contamination</w:t>
    </w:r>
  </w:p>
  <w:p w14:paraId="2AD82183" w14:textId="232355FE" w:rsidR="00EC7B20" w:rsidRPr="00F77950" w:rsidRDefault="00EC7B2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 xml:space="preserve">Revised: </w:t>
    </w:r>
    <w:r w:rsidR="00131708">
      <w:rPr>
        <w:sz w:val="18"/>
        <w:szCs w:val="18"/>
        <w:lang w:val="en-US"/>
      </w:rPr>
      <w:t>March 29, 2019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ED65F1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ED65F1">
      <w:rPr>
        <w:noProof/>
        <w:lang w:val="en-US"/>
      </w:rPr>
      <w:t>9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EF35" w14:textId="77777777" w:rsidR="00350616" w:rsidRDefault="00350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F8425" w14:textId="77777777" w:rsidR="00D11545" w:rsidRDefault="00D11545" w:rsidP="00F77950">
      <w:pPr>
        <w:spacing w:after="0" w:line="240" w:lineRule="auto"/>
      </w:pPr>
      <w:r>
        <w:separator/>
      </w:r>
    </w:p>
  </w:footnote>
  <w:footnote w:type="continuationSeparator" w:id="0">
    <w:p w14:paraId="48F53E46" w14:textId="77777777" w:rsidR="00D11545" w:rsidRDefault="00D11545" w:rsidP="00F7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3B1A" w14:textId="71F65B36" w:rsidR="0035634E" w:rsidRDefault="00356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FBC1" w14:textId="7E8663A8" w:rsidR="0035634E" w:rsidRDefault="00356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2548" w14:textId="04BDFAE8" w:rsidR="0035634E" w:rsidRDefault="00356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7E3"/>
    <w:multiLevelType w:val="hybridMultilevel"/>
    <w:tmpl w:val="0F4C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5D14"/>
    <w:multiLevelType w:val="hybridMultilevel"/>
    <w:tmpl w:val="4A18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867"/>
    <w:multiLevelType w:val="hybridMultilevel"/>
    <w:tmpl w:val="5F8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1E64"/>
    <w:multiLevelType w:val="hybridMultilevel"/>
    <w:tmpl w:val="536CA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60D9B"/>
    <w:multiLevelType w:val="hybridMultilevel"/>
    <w:tmpl w:val="7FE4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F4604"/>
    <w:multiLevelType w:val="multilevel"/>
    <w:tmpl w:val="9F4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9670A"/>
    <w:multiLevelType w:val="hybridMultilevel"/>
    <w:tmpl w:val="8A2C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7881"/>
    <w:multiLevelType w:val="hybridMultilevel"/>
    <w:tmpl w:val="E442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70E5"/>
    <w:multiLevelType w:val="hybridMultilevel"/>
    <w:tmpl w:val="B8EA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F1F97"/>
    <w:multiLevelType w:val="hybridMultilevel"/>
    <w:tmpl w:val="13CCFF6A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02EC"/>
    <w:multiLevelType w:val="hybridMultilevel"/>
    <w:tmpl w:val="57C6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51D"/>
    <w:multiLevelType w:val="hybridMultilevel"/>
    <w:tmpl w:val="03B812E8"/>
    <w:lvl w:ilvl="0" w:tplc="59628FE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37517"/>
    <w:multiLevelType w:val="hybridMultilevel"/>
    <w:tmpl w:val="AAD8B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71384"/>
    <w:multiLevelType w:val="hybridMultilevel"/>
    <w:tmpl w:val="C3366C66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F743D"/>
    <w:multiLevelType w:val="hybridMultilevel"/>
    <w:tmpl w:val="764C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39B6"/>
    <w:multiLevelType w:val="hybridMultilevel"/>
    <w:tmpl w:val="51D4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174CD"/>
    <w:multiLevelType w:val="hybridMultilevel"/>
    <w:tmpl w:val="8726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6F1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90E30"/>
    <w:multiLevelType w:val="hybridMultilevel"/>
    <w:tmpl w:val="3C46A276"/>
    <w:lvl w:ilvl="0" w:tplc="D0FCEC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270D"/>
    <w:multiLevelType w:val="hybridMultilevel"/>
    <w:tmpl w:val="BF4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7BC9"/>
    <w:multiLevelType w:val="hybridMultilevel"/>
    <w:tmpl w:val="9B0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02D4"/>
    <w:multiLevelType w:val="hybridMultilevel"/>
    <w:tmpl w:val="6FE2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613B"/>
    <w:multiLevelType w:val="hybridMultilevel"/>
    <w:tmpl w:val="B274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61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7DA769E"/>
    <w:multiLevelType w:val="hybridMultilevel"/>
    <w:tmpl w:val="BF50D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57DDC"/>
    <w:multiLevelType w:val="multilevel"/>
    <w:tmpl w:val="62A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812C9E"/>
    <w:multiLevelType w:val="hybridMultilevel"/>
    <w:tmpl w:val="EF0E96BE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02136"/>
    <w:multiLevelType w:val="hybridMultilevel"/>
    <w:tmpl w:val="A2A89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04F01"/>
    <w:multiLevelType w:val="hybridMultilevel"/>
    <w:tmpl w:val="089A4012"/>
    <w:lvl w:ilvl="0" w:tplc="B034614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2B6E1C"/>
    <w:multiLevelType w:val="hybridMultilevel"/>
    <w:tmpl w:val="098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945FD"/>
    <w:multiLevelType w:val="hybridMultilevel"/>
    <w:tmpl w:val="0AEEC5CE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E5A1A"/>
    <w:multiLevelType w:val="hybridMultilevel"/>
    <w:tmpl w:val="D440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77BFD"/>
    <w:multiLevelType w:val="hybridMultilevel"/>
    <w:tmpl w:val="F0CA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44A57"/>
    <w:multiLevelType w:val="hybridMultilevel"/>
    <w:tmpl w:val="13FC0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7131DF"/>
    <w:multiLevelType w:val="multilevel"/>
    <w:tmpl w:val="FD5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F383D"/>
    <w:multiLevelType w:val="hybridMultilevel"/>
    <w:tmpl w:val="60FC1784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A64FF"/>
    <w:multiLevelType w:val="hybridMultilevel"/>
    <w:tmpl w:val="B7EC8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66B08"/>
    <w:multiLevelType w:val="hybridMultilevel"/>
    <w:tmpl w:val="CC8C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05CA1"/>
    <w:multiLevelType w:val="hybridMultilevel"/>
    <w:tmpl w:val="01A20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610CD"/>
    <w:multiLevelType w:val="hybridMultilevel"/>
    <w:tmpl w:val="98B2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505D9"/>
    <w:multiLevelType w:val="hybridMultilevel"/>
    <w:tmpl w:val="0128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6857"/>
    <w:multiLevelType w:val="multilevel"/>
    <w:tmpl w:val="2B1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A0CFB"/>
    <w:multiLevelType w:val="hybridMultilevel"/>
    <w:tmpl w:val="79CAA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5115B"/>
    <w:multiLevelType w:val="hybridMultilevel"/>
    <w:tmpl w:val="232A4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F7091"/>
    <w:multiLevelType w:val="hybridMultilevel"/>
    <w:tmpl w:val="764C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2"/>
  </w:num>
  <w:num w:numId="3">
    <w:abstractNumId w:val="27"/>
  </w:num>
  <w:num w:numId="4">
    <w:abstractNumId w:val="36"/>
  </w:num>
  <w:num w:numId="5">
    <w:abstractNumId w:val="16"/>
  </w:num>
  <w:num w:numId="6">
    <w:abstractNumId w:val="33"/>
  </w:num>
  <w:num w:numId="7">
    <w:abstractNumId w:val="1"/>
  </w:num>
  <w:num w:numId="8">
    <w:abstractNumId w:val="19"/>
  </w:num>
  <w:num w:numId="9">
    <w:abstractNumId w:val="2"/>
  </w:num>
  <w:num w:numId="10">
    <w:abstractNumId w:val="10"/>
  </w:num>
  <w:num w:numId="11">
    <w:abstractNumId w:val="31"/>
  </w:num>
  <w:num w:numId="12">
    <w:abstractNumId w:val="13"/>
  </w:num>
  <w:num w:numId="13">
    <w:abstractNumId w:val="40"/>
  </w:num>
  <w:num w:numId="14">
    <w:abstractNumId w:val="8"/>
  </w:num>
  <w:num w:numId="15">
    <w:abstractNumId w:val="18"/>
  </w:num>
  <w:num w:numId="16">
    <w:abstractNumId w:val="41"/>
  </w:num>
  <w:num w:numId="17">
    <w:abstractNumId w:val="29"/>
  </w:num>
  <w:num w:numId="18">
    <w:abstractNumId w:val="11"/>
  </w:num>
  <w:num w:numId="19">
    <w:abstractNumId w:val="6"/>
  </w:num>
  <w:num w:numId="20">
    <w:abstractNumId w:val="9"/>
  </w:num>
  <w:num w:numId="21">
    <w:abstractNumId w:val="17"/>
  </w:num>
  <w:num w:numId="22">
    <w:abstractNumId w:val="35"/>
  </w:num>
  <w:num w:numId="23">
    <w:abstractNumId w:val="30"/>
  </w:num>
  <w:num w:numId="24">
    <w:abstractNumId w:val="39"/>
  </w:num>
  <w:num w:numId="25">
    <w:abstractNumId w:val="43"/>
  </w:num>
  <w:num w:numId="26">
    <w:abstractNumId w:val="25"/>
  </w:num>
  <w:num w:numId="27">
    <w:abstractNumId w:val="23"/>
  </w:num>
  <w:num w:numId="28">
    <w:abstractNumId w:val="5"/>
  </w:num>
  <w:num w:numId="29">
    <w:abstractNumId w:val="0"/>
  </w:num>
  <w:num w:numId="30">
    <w:abstractNumId w:val="26"/>
  </w:num>
  <w:num w:numId="31">
    <w:abstractNumId w:val="37"/>
  </w:num>
  <w:num w:numId="32">
    <w:abstractNumId w:val="20"/>
  </w:num>
  <w:num w:numId="33">
    <w:abstractNumId w:val="38"/>
  </w:num>
  <w:num w:numId="34">
    <w:abstractNumId w:val="21"/>
  </w:num>
  <w:num w:numId="35">
    <w:abstractNumId w:val="47"/>
  </w:num>
  <w:num w:numId="36">
    <w:abstractNumId w:val="14"/>
  </w:num>
  <w:num w:numId="37">
    <w:abstractNumId w:val="24"/>
  </w:num>
  <w:num w:numId="38">
    <w:abstractNumId w:val="32"/>
  </w:num>
  <w:num w:numId="39">
    <w:abstractNumId w:val="3"/>
  </w:num>
  <w:num w:numId="40">
    <w:abstractNumId w:val="12"/>
  </w:num>
  <w:num w:numId="41">
    <w:abstractNumId w:val="28"/>
  </w:num>
  <w:num w:numId="42">
    <w:abstractNumId w:val="46"/>
  </w:num>
  <w:num w:numId="43">
    <w:abstractNumId w:val="4"/>
  </w:num>
  <w:num w:numId="44">
    <w:abstractNumId w:val="7"/>
  </w:num>
  <w:num w:numId="45">
    <w:abstractNumId w:val="15"/>
  </w:num>
  <w:num w:numId="46">
    <w:abstractNumId w:val="42"/>
  </w:num>
  <w:num w:numId="47">
    <w:abstractNumId w:val="45"/>
  </w:num>
  <w:num w:numId="4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92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9"/>
    <w:rsid w:val="00010D7C"/>
    <w:rsid w:val="00013CAD"/>
    <w:rsid w:val="00014499"/>
    <w:rsid w:val="00022624"/>
    <w:rsid w:val="000237B1"/>
    <w:rsid w:val="00025008"/>
    <w:rsid w:val="000305A9"/>
    <w:rsid w:val="00032430"/>
    <w:rsid w:val="000351BF"/>
    <w:rsid w:val="00036811"/>
    <w:rsid w:val="00041FC4"/>
    <w:rsid w:val="00043B47"/>
    <w:rsid w:val="000466D1"/>
    <w:rsid w:val="00051EDA"/>
    <w:rsid w:val="00056F8D"/>
    <w:rsid w:val="00057BA6"/>
    <w:rsid w:val="000722D1"/>
    <w:rsid w:val="00073685"/>
    <w:rsid w:val="00076D54"/>
    <w:rsid w:val="00077507"/>
    <w:rsid w:val="000868E2"/>
    <w:rsid w:val="000940BE"/>
    <w:rsid w:val="00096709"/>
    <w:rsid w:val="00097553"/>
    <w:rsid w:val="00097CEF"/>
    <w:rsid w:val="000A2335"/>
    <w:rsid w:val="000B17FC"/>
    <w:rsid w:val="000B2FC8"/>
    <w:rsid w:val="000B4C66"/>
    <w:rsid w:val="000D6830"/>
    <w:rsid w:val="000D7A97"/>
    <w:rsid w:val="000E31AD"/>
    <w:rsid w:val="000E4F64"/>
    <w:rsid w:val="000F10A5"/>
    <w:rsid w:val="000F3FD5"/>
    <w:rsid w:val="000F6FC9"/>
    <w:rsid w:val="00112A6F"/>
    <w:rsid w:val="0012106F"/>
    <w:rsid w:val="001220D4"/>
    <w:rsid w:val="001228E7"/>
    <w:rsid w:val="0013106D"/>
    <w:rsid w:val="001315A9"/>
    <w:rsid w:val="00131708"/>
    <w:rsid w:val="00132A72"/>
    <w:rsid w:val="00133020"/>
    <w:rsid w:val="00137C77"/>
    <w:rsid w:val="001406AF"/>
    <w:rsid w:val="00141514"/>
    <w:rsid w:val="00144249"/>
    <w:rsid w:val="00144C57"/>
    <w:rsid w:val="00146AB9"/>
    <w:rsid w:val="00164499"/>
    <w:rsid w:val="00172B9A"/>
    <w:rsid w:val="00174B34"/>
    <w:rsid w:val="00185E66"/>
    <w:rsid w:val="00194896"/>
    <w:rsid w:val="00195B65"/>
    <w:rsid w:val="001965D6"/>
    <w:rsid w:val="001A52AD"/>
    <w:rsid w:val="001A5D5C"/>
    <w:rsid w:val="001A5F4F"/>
    <w:rsid w:val="001C3772"/>
    <w:rsid w:val="001C5AE3"/>
    <w:rsid w:val="001D3191"/>
    <w:rsid w:val="001D47EA"/>
    <w:rsid w:val="001E2098"/>
    <w:rsid w:val="001E4B1D"/>
    <w:rsid w:val="001E5C6F"/>
    <w:rsid w:val="001E6AF9"/>
    <w:rsid w:val="001F3D03"/>
    <w:rsid w:val="00201C15"/>
    <w:rsid w:val="00203BC6"/>
    <w:rsid w:val="00206D87"/>
    <w:rsid w:val="00210DD7"/>
    <w:rsid w:val="00214C25"/>
    <w:rsid w:val="0021543F"/>
    <w:rsid w:val="002161D8"/>
    <w:rsid w:val="002177BB"/>
    <w:rsid w:val="00223583"/>
    <w:rsid w:val="0022576A"/>
    <w:rsid w:val="00225ABF"/>
    <w:rsid w:val="00231934"/>
    <w:rsid w:val="00232860"/>
    <w:rsid w:val="0023647F"/>
    <w:rsid w:val="0024033C"/>
    <w:rsid w:val="002439DD"/>
    <w:rsid w:val="00246C4D"/>
    <w:rsid w:val="00247150"/>
    <w:rsid w:val="00247A4F"/>
    <w:rsid w:val="0025020D"/>
    <w:rsid w:val="0025481C"/>
    <w:rsid w:val="00256421"/>
    <w:rsid w:val="00260B45"/>
    <w:rsid w:val="002640E2"/>
    <w:rsid w:val="00265DA1"/>
    <w:rsid w:val="00271C70"/>
    <w:rsid w:val="002733E8"/>
    <w:rsid w:val="00280425"/>
    <w:rsid w:val="00282B92"/>
    <w:rsid w:val="00283A46"/>
    <w:rsid w:val="00284BBA"/>
    <w:rsid w:val="002914CB"/>
    <w:rsid w:val="002C2795"/>
    <w:rsid w:val="002D5389"/>
    <w:rsid w:val="002D6CA9"/>
    <w:rsid w:val="002E3BCC"/>
    <w:rsid w:val="002E4613"/>
    <w:rsid w:val="002E635F"/>
    <w:rsid w:val="002F63D6"/>
    <w:rsid w:val="0030268D"/>
    <w:rsid w:val="00303997"/>
    <w:rsid w:val="0030642F"/>
    <w:rsid w:val="0031243D"/>
    <w:rsid w:val="00320993"/>
    <w:rsid w:val="00322203"/>
    <w:rsid w:val="0033289C"/>
    <w:rsid w:val="00335E55"/>
    <w:rsid w:val="003409E0"/>
    <w:rsid w:val="003468F3"/>
    <w:rsid w:val="00347A88"/>
    <w:rsid w:val="00350616"/>
    <w:rsid w:val="00350A11"/>
    <w:rsid w:val="00354387"/>
    <w:rsid w:val="0035634E"/>
    <w:rsid w:val="003629CE"/>
    <w:rsid w:val="00364E3A"/>
    <w:rsid w:val="003653B2"/>
    <w:rsid w:val="00382126"/>
    <w:rsid w:val="003A6346"/>
    <w:rsid w:val="003C5AC9"/>
    <w:rsid w:val="003E1A86"/>
    <w:rsid w:val="003E20D3"/>
    <w:rsid w:val="003E721A"/>
    <w:rsid w:val="004009E6"/>
    <w:rsid w:val="00404C69"/>
    <w:rsid w:val="00410AA7"/>
    <w:rsid w:val="004141A9"/>
    <w:rsid w:val="0042183A"/>
    <w:rsid w:val="00421862"/>
    <w:rsid w:val="00424412"/>
    <w:rsid w:val="00432CDF"/>
    <w:rsid w:val="00442DB4"/>
    <w:rsid w:val="00454DEE"/>
    <w:rsid w:val="00456A0F"/>
    <w:rsid w:val="004612AB"/>
    <w:rsid w:val="00466E79"/>
    <w:rsid w:val="00466F56"/>
    <w:rsid w:val="004737F9"/>
    <w:rsid w:val="00473A73"/>
    <w:rsid w:val="0049375D"/>
    <w:rsid w:val="004A55C2"/>
    <w:rsid w:val="004A6775"/>
    <w:rsid w:val="004A74EA"/>
    <w:rsid w:val="004A7CD4"/>
    <w:rsid w:val="004B4540"/>
    <w:rsid w:val="004C1165"/>
    <w:rsid w:val="004C291A"/>
    <w:rsid w:val="004C469A"/>
    <w:rsid w:val="004C6BDE"/>
    <w:rsid w:val="004D30B5"/>
    <w:rsid w:val="004D3954"/>
    <w:rsid w:val="004D5D7C"/>
    <w:rsid w:val="004D62E1"/>
    <w:rsid w:val="004E0377"/>
    <w:rsid w:val="004E757D"/>
    <w:rsid w:val="00506E67"/>
    <w:rsid w:val="00513BA9"/>
    <w:rsid w:val="00517773"/>
    <w:rsid w:val="00522893"/>
    <w:rsid w:val="00533E0F"/>
    <w:rsid w:val="005408C1"/>
    <w:rsid w:val="005449B1"/>
    <w:rsid w:val="00564084"/>
    <w:rsid w:val="005654EE"/>
    <w:rsid w:val="00570FC3"/>
    <w:rsid w:val="00580E1A"/>
    <w:rsid w:val="00596230"/>
    <w:rsid w:val="005964CA"/>
    <w:rsid w:val="005A122F"/>
    <w:rsid w:val="005B64A7"/>
    <w:rsid w:val="005C7C59"/>
    <w:rsid w:val="005D3EB4"/>
    <w:rsid w:val="005D5F6C"/>
    <w:rsid w:val="005E38C6"/>
    <w:rsid w:val="005E3C13"/>
    <w:rsid w:val="005E649C"/>
    <w:rsid w:val="005F2EA7"/>
    <w:rsid w:val="005F7FDC"/>
    <w:rsid w:val="0060021C"/>
    <w:rsid w:val="00605A6B"/>
    <w:rsid w:val="00611C82"/>
    <w:rsid w:val="00613094"/>
    <w:rsid w:val="006133A9"/>
    <w:rsid w:val="00614E8A"/>
    <w:rsid w:val="006247C3"/>
    <w:rsid w:val="006328B3"/>
    <w:rsid w:val="00637074"/>
    <w:rsid w:val="00637EDA"/>
    <w:rsid w:val="00642A07"/>
    <w:rsid w:val="00642E15"/>
    <w:rsid w:val="00642F3C"/>
    <w:rsid w:val="0064455F"/>
    <w:rsid w:val="00644D26"/>
    <w:rsid w:val="00653198"/>
    <w:rsid w:val="00655E76"/>
    <w:rsid w:val="00660379"/>
    <w:rsid w:val="006617BF"/>
    <w:rsid w:val="0066600E"/>
    <w:rsid w:val="00667B14"/>
    <w:rsid w:val="00673DAB"/>
    <w:rsid w:val="006760DD"/>
    <w:rsid w:val="00685A65"/>
    <w:rsid w:val="006867A3"/>
    <w:rsid w:val="00691698"/>
    <w:rsid w:val="006A1353"/>
    <w:rsid w:val="006A1F73"/>
    <w:rsid w:val="006A548E"/>
    <w:rsid w:val="006B5EFC"/>
    <w:rsid w:val="006C4BFC"/>
    <w:rsid w:val="006D001B"/>
    <w:rsid w:val="006D3DFF"/>
    <w:rsid w:val="006F0548"/>
    <w:rsid w:val="006F2F72"/>
    <w:rsid w:val="007006DF"/>
    <w:rsid w:val="00705170"/>
    <w:rsid w:val="00717421"/>
    <w:rsid w:val="00724BEE"/>
    <w:rsid w:val="00741535"/>
    <w:rsid w:val="00741C67"/>
    <w:rsid w:val="007451C8"/>
    <w:rsid w:val="00753B2E"/>
    <w:rsid w:val="00756A86"/>
    <w:rsid w:val="00760D62"/>
    <w:rsid w:val="0076378F"/>
    <w:rsid w:val="0076400C"/>
    <w:rsid w:val="00767882"/>
    <w:rsid w:val="00771872"/>
    <w:rsid w:val="007770C1"/>
    <w:rsid w:val="00777C2B"/>
    <w:rsid w:val="007840FF"/>
    <w:rsid w:val="00784232"/>
    <w:rsid w:val="007846CF"/>
    <w:rsid w:val="007A68C3"/>
    <w:rsid w:val="007B13C5"/>
    <w:rsid w:val="007B1947"/>
    <w:rsid w:val="007B1CD2"/>
    <w:rsid w:val="007B6C4A"/>
    <w:rsid w:val="007C2546"/>
    <w:rsid w:val="007C336E"/>
    <w:rsid w:val="007C3437"/>
    <w:rsid w:val="007D0767"/>
    <w:rsid w:val="007D0C01"/>
    <w:rsid w:val="007D1FEC"/>
    <w:rsid w:val="007E03A7"/>
    <w:rsid w:val="007E2A93"/>
    <w:rsid w:val="007E3D73"/>
    <w:rsid w:val="007F5C01"/>
    <w:rsid w:val="007F6A8A"/>
    <w:rsid w:val="007F7D58"/>
    <w:rsid w:val="00800B22"/>
    <w:rsid w:val="00800B25"/>
    <w:rsid w:val="00804E40"/>
    <w:rsid w:val="00806E36"/>
    <w:rsid w:val="00812457"/>
    <w:rsid w:val="008174C2"/>
    <w:rsid w:val="008225D2"/>
    <w:rsid w:val="00823102"/>
    <w:rsid w:val="00824055"/>
    <w:rsid w:val="00840B51"/>
    <w:rsid w:val="00842D8B"/>
    <w:rsid w:val="00851784"/>
    <w:rsid w:val="00851951"/>
    <w:rsid w:val="0085532D"/>
    <w:rsid w:val="0085560D"/>
    <w:rsid w:val="0086261B"/>
    <w:rsid w:val="008759A3"/>
    <w:rsid w:val="008802FE"/>
    <w:rsid w:val="0088560D"/>
    <w:rsid w:val="00890A2F"/>
    <w:rsid w:val="008A0C98"/>
    <w:rsid w:val="008A185B"/>
    <w:rsid w:val="008A6AFB"/>
    <w:rsid w:val="008B2F89"/>
    <w:rsid w:val="008B7EED"/>
    <w:rsid w:val="008C0775"/>
    <w:rsid w:val="008D2B5C"/>
    <w:rsid w:val="009042E9"/>
    <w:rsid w:val="00942018"/>
    <w:rsid w:val="0094275D"/>
    <w:rsid w:val="00944930"/>
    <w:rsid w:val="00944E08"/>
    <w:rsid w:val="00950AC6"/>
    <w:rsid w:val="00955DC6"/>
    <w:rsid w:val="0096026C"/>
    <w:rsid w:val="0096290A"/>
    <w:rsid w:val="009670E5"/>
    <w:rsid w:val="009673E4"/>
    <w:rsid w:val="009703C2"/>
    <w:rsid w:val="00975869"/>
    <w:rsid w:val="009779D5"/>
    <w:rsid w:val="00990CC5"/>
    <w:rsid w:val="009914CD"/>
    <w:rsid w:val="009A0BC7"/>
    <w:rsid w:val="009A55AA"/>
    <w:rsid w:val="009B23CD"/>
    <w:rsid w:val="009C488F"/>
    <w:rsid w:val="009C5B7B"/>
    <w:rsid w:val="009C6958"/>
    <w:rsid w:val="009D08B6"/>
    <w:rsid w:val="009D4E26"/>
    <w:rsid w:val="009D6D34"/>
    <w:rsid w:val="009D6EF0"/>
    <w:rsid w:val="009E0815"/>
    <w:rsid w:val="009E14A4"/>
    <w:rsid w:val="009E1C50"/>
    <w:rsid w:val="009E6CF1"/>
    <w:rsid w:val="00A050AF"/>
    <w:rsid w:val="00A06F65"/>
    <w:rsid w:val="00A102EC"/>
    <w:rsid w:val="00A111D4"/>
    <w:rsid w:val="00A16C99"/>
    <w:rsid w:val="00A263A4"/>
    <w:rsid w:val="00A34A80"/>
    <w:rsid w:val="00A37C5D"/>
    <w:rsid w:val="00A5032D"/>
    <w:rsid w:val="00A651BB"/>
    <w:rsid w:val="00A76876"/>
    <w:rsid w:val="00A91DB4"/>
    <w:rsid w:val="00A96BEF"/>
    <w:rsid w:val="00AB22E5"/>
    <w:rsid w:val="00AC1D95"/>
    <w:rsid w:val="00AC7931"/>
    <w:rsid w:val="00AD53DC"/>
    <w:rsid w:val="00AD6DA2"/>
    <w:rsid w:val="00AE7E0C"/>
    <w:rsid w:val="00AF5254"/>
    <w:rsid w:val="00B01A7F"/>
    <w:rsid w:val="00B069B2"/>
    <w:rsid w:val="00B0730E"/>
    <w:rsid w:val="00B12619"/>
    <w:rsid w:val="00B141D6"/>
    <w:rsid w:val="00B142E7"/>
    <w:rsid w:val="00B17BDD"/>
    <w:rsid w:val="00B36205"/>
    <w:rsid w:val="00B367A6"/>
    <w:rsid w:val="00B3759F"/>
    <w:rsid w:val="00B37A12"/>
    <w:rsid w:val="00B41261"/>
    <w:rsid w:val="00B47DDA"/>
    <w:rsid w:val="00B64042"/>
    <w:rsid w:val="00B64905"/>
    <w:rsid w:val="00B65B62"/>
    <w:rsid w:val="00B71FF2"/>
    <w:rsid w:val="00B77808"/>
    <w:rsid w:val="00B866AD"/>
    <w:rsid w:val="00B92BD4"/>
    <w:rsid w:val="00B97089"/>
    <w:rsid w:val="00BC20CA"/>
    <w:rsid w:val="00BD0593"/>
    <w:rsid w:val="00BD13D3"/>
    <w:rsid w:val="00BD54F8"/>
    <w:rsid w:val="00BD609B"/>
    <w:rsid w:val="00BD67D5"/>
    <w:rsid w:val="00BE4284"/>
    <w:rsid w:val="00BE4823"/>
    <w:rsid w:val="00BF0C57"/>
    <w:rsid w:val="00C02ADE"/>
    <w:rsid w:val="00C04845"/>
    <w:rsid w:val="00C057E4"/>
    <w:rsid w:val="00C07B91"/>
    <w:rsid w:val="00C17B36"/>
    <w:rsid w:val="00C204C8"/>
    <w:rsid w:val="00C20666"/>
    <w:rsid w:val="00C226A2"/>
    <w:rsid w:val="00C25165"/>
    <w:rsid w:val="00C25CCB"/>
    <w:rsid w:val="00C31338"/>
    <w:rsid w:val="00C35344"/>
    <w:rsid w:val="00C3737D"/>
    <w:rsid w:val="00C50DEB"/>
    <w:rsid w:val="00C71C0B"/>
    <w:rsid w:val="00C72E4D"/>
    <w:rsid w:val="00C77D43"/>
    <w:rsid w:val="00C81DD7"/>
    <w:rsid w:val="00C82AF8"/>
    <w:rsid w:val="00C9122A"/>
    <w:rsid w:val="00CA5CCA"/>
    <w:rsid w:val="00CA7C4C"/>
    <w:rsid w:val="00CB30C6"/>
    <w:rsid w:val="00CB60E5"/>
    <w:rsid w:val="00CC02C7"/>
    <w:rsid w:val="00CC4EEE"/>
    <w:rsid w:val="00CD5EC7"/>
    <w:rsid w:val="00CD7DFF"/>
    <w:rsid w:val="00CF3C4F"/>
    <w:rsid w:val="00D00C13"/>
    <w:rsid w:val="00D011D6"/>
    <w:rsid w:val="00D0235A"/>
    <w:rsid w:val="00D02AF2"/>
    <w:rsid w:val="00D037D5"/>
    <w:rsid w:val="00D058FE"/>
    <w:rsid w:val="00D05D88"/>
    <w:rsid w:val="00D113BE"/>
    <w:rsid w:val="00D11545"/>
    <w:rsid w:val="00D14727"/>
    <w:rsid w:val="00D14C5D"/>
    <w:rsid w:val="00D2035C"/>
    <w:rsid w:val="00D3680E"/>
    <w:rsid w:val="00D418EB"/>
    <w:rsid w:val="00D4305C"/>
    <w:rsid w:val="00D453B1"/>
    <w:rsid w:val="00D544EF"/>
    <w:rsid w:val="00D62DDF"/>
    <w:rsid w:val="00D63B3F"/>
    <w:rsid w:val="00D6475E"/>
    <w:rsid w:val="00D663E1"/>
    <w:rsid w:val="00D81FC7"/>
    <w:rsid w:val="00D901FE"/>
    <w:rsid w:val="00D93CA5"/>
    <w:rsid w:val="00D93FE7"/>
    <w:rsid w:val="00D94475"/>
    <w:rsid w:val="00D94E8E"/>
    <w:rsid w:val="00D97B34"/>
    <w:rsid w:val="00DA0473"/>
    <w:rsid w:val="00DA7E34"/>
    <w:rsid w:val="00DB3459"/>
    <w:rsid w:val="00DB3A0B"/>
    <w:rsid w:val="00DB6171"/>
    <w:rsid w:val="00DC4504"/>
    <w:rsid w:val="00DD0D95"/>
    <w:rsid w:val="00DD2CC8"/>
    <w:rsid w:val="00DE2CB6"/>
    <w:rsid w:val="00DF3A35"/>
    <w:rsid w:val="00DF5DD8"/>
    <w:rsid w:val="00E01972"/>
    <w:rsid w:val="00E06D99"/>
    <w:rsid w:val="00E17D3C"/>
    <w:rsid w:val="00E26763"/>
    <w:rsid w:val="00E26A56"/>
    <w:rsid w:val="00E32F61"/>
    <w:rsid w:val="00E34BCC"/>
    <w:rsid w:val="00E35943"/>
    <w:rsid w:val="00E362EF"/>
    <w:rsid w:val="00E36E04"/>
    <w:rsid w:val="00E40A82"/>
    <w:rsid w:val="00E50630"/>
    <w:rsid w:val="00E5109F"/>
    <w:rsid w:val="00E525F9"/>
    <w:rsid w:val="00E558F7"/>
    <w:rsid w:val="00E575B5"/>
    <w:rsid w:val="00E7202D"/>
    <w:rsid w:val="00E72D03"/>
    <w:rsid w:val="00E73CC0"/>
    <w:rsid w:val="00E76562"/>
    <w:rsid w:val="00E90416"/>
    <w:rsid w:val="00EA2AEC"/>
    <w:rsid w:val="00EB1C0A"/>
    <w:rsid w:val="00EB4CF7"/>
    <w:rsid w:val="00EB7841"/>
    <w:rsid w:val="00EB7DD1"/>
    <w:rsid w:val="00EC7B20"/>
    <w:rsid w:val="00EC7BC4"/>
    <w:rsid w:val="00ED1B37"/>
    <w:rsid w:val="00ED411D"/>
    <w:rsid w:val="00ED5B24"/>
    <w:rsid w:val="00ED65F1"/>
    <w:rsid w:val="00EE09AC"/>
    <w:rsid w:val="00EE1AA5"/>
    <w:rsid w:val="00EE672B"/>
    <w:rsid w:val="00EE7CF5"/>
    <w:rsid w:val="00EF280C"/>
    <w:rsid w:val="00EF69B4"/>
    <w:rsid w:val="00F036F9"/>
    <w:rsid w:val="00F03EC1"/>
    <w:rsid w:val="00F05006"/>
    <w:rsid w:val="00F15362"/>
    <w:rsid w:val="00F15985"/>
    <w:rsid w:val="00F211F3"/>
    <w:rsid w:val="00F22FBE"/>
    <w:rsid w:val="00F24AE8"/>
    <w:rsid w:val="00F25B6A"/>
    <w:rsid w:val="00F32FF3"/>
    <w:rsid w:val="00F33BCA"/>
    <w:rsid w:val="00F42DA1"/>
    <w:rsid w:val="00F46FAF"/>
    <w:rsid w:val="00F60EC2"/>
    <w:rsid w:val="00F6309F"/>
    <w:rsid w:val="00F65A8C"/>
    <w:rsid w:val="00F66D29"/>
    <w:rsid w:val="00F75585"/>
    <w:rsid w:val="00F77950"/>
    <w:rsid w:val="00F80F94"/>
    <w:rsid w:val="00F82F99"/>
    <w:rsid w:val="00F87A10"/>
    <w:rsid w:val="00F93AD0"/>
    <w:rsid w:val="00FA0923"/>
    <w:rsid w:val="00FA0F86"/>
    <w:rsid w:val="00FA3275"/>
    <w:rsid w:val="00FA7AD2"/>
    <w:rsid w:val="00FC1166"/>
    <w:rsid w:val="00FC329B"/>
    <w:rsid w:val="00FD2D93"/>
    <w:rsid w:val="00FD42C1"/>
    <w:rsid w:val="00FD471A"/>
    <w:rsid w:val="00FD4BF6"/>
    <w:rsid w:val="00FE4CC5"/>
    <w:rsid w:val="00FE4D38"/>
    <w:rsid w:val="00FE7C00"/>
    <w:rsid w:val="00FF187A"/>
    <w:rsid w:val="00FF35C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6A641FB"/>
  <w15:docId w15:val="{ABEE05B7-BEC3-0F47-9C5C-F75924D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  <w:style w:type="paragraph" w:customStyle="1" w:styleId="Default">
    <w:name w:val="Default"/>
    <w:rsid w:val="00E26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A7C4C"/>
    <w:pPr>
      <w:widowControl w:val="0"/>
      <w:autoSpaceDE w:val="0"/>
      <w:autoSpaceDN w:val="0"/>
      <w:spacing w:after="0" w:line="265" w:lineRule="exact"/>
      <w:ind w:left="98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CA7C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B1CD2"/>
  </w:style>
  <w:style w:type="character" w:styleId="CommentReference">
    <w:name w:val="annotation reference"/>
    <w:basedOn w:val="DefaultParagraphFont"/>
    <w:uiPriority w:val="99"/>
    <w:semiHidden/>
    <w:unhideWhenUsed/>
    <w:rsid w:val="00D0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8FE"/>
    <w:rPr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E40A82"/>
    <w:pPr>
      <w:spacing w:line="241" w:lineRule="atLeast"/>
    </w:pPr>
    <w:rPr>
      <w:rFonts w:ascii="Tahoma" w:hAnsi="Tahoma" w:cs="Tahoma"/>
      <w:color w:val="auto"/>
    </w:rPr>
  </w:style>
  <w:style w:type="character" w:customStyle="1" w:styleId="A8">
    <w:name w:val="A8"/>
    <w:uiPriority w:val="99"/>
    <w:rsid w:val="00E40A82"/>
    <w:rPr>
      <w:color w:val="221E1F"/>
      <w:sz w:val="20"/>
      <w:szCs w:val="20"/>
    </w:rPr>
  </w:style>
  <w:style w:type="character" w:customStyle="1" w:styleId="ccca89422-666pkcl">
    <w:name w:val="cc_ca89422-666pk_cl"/>
    <w:basedOn w:val="DefaultParagraphFont"/>
    <w:rsid w:val="00D14C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4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so@mcmaster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phys@mcmaster.ca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eohss@mcmaster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74A4B-33C2-624D-B8D1-ACF26CBEB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7A8C7-A736-4082-8EF1-F6F8DB01FDBF}"/>
</file>

<file path=customXml/itemProps3.xml><?xml version="1.0" encoding="utf-8"?>
<ds:datastoreItem xmlns:ds="http://schemas.openxmlformats.org/officeDocument/2006/customXml" ds:itemID="{F6C65170-8D05-4737-93A3-9AD1C47477E9}"/>
</file>

<file path=customXml/itemProps4.xml><?xml version="1.0" encoding="utf-8"?>
<ds:datastoreItem xmlns:ds="http://schemas.openxmlformats.org/officeDocument/2006/customXml" ds:itemID="{88FF65A9-2A61-4E9D-AF92-F2109D15F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781</Words>
  <Characters>4548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McMaster University</Company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Robertson</dc:creator>
  <cp:keywords>biosafety; personal devices; cross-contamination</cp:keywords>
  <dc:description>Please modify this SOP to contain information specific to your own laboratory. Please ensure this SOP is reviewed annually by the supervisor.</dc:description>
  <cp:lastModifiedBy>Jennifer Robertson</cp:lastModifiedBy>
  <cp:revision>78</cp:revision>
  <cp:lastPrinted>2018-04-02T11:45:00Z</cp:lastPrinted>
  <dcterms:created xsi:type="dcterms:W3CDTF">2019-03-29T17:53:00Z</dcterms:created>
  <dcterms:modified xsi:type="dcterms:W3CDTF">2019-05-01T16:32:00Z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Order">
    <vt:r8>10973000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