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4D952" w14:textId="46549904" w:rsidR="00D93CA5" w:rsidRDefault="00D46516" w:rsidP="00D93CA5">
      <w:pPr>
        <w:pStyle w:val="Title"/>
      </w:pPr>
      <w:r>
        <w:t>Homogenizers</w:t>
      </w:r>
    </w:p>
    <w:sdt>
      <w:sdtPr>
        <w:rPr>
          <w:rFonts w:asciiTheme="minorHAnsi" w:eastAsiaTheme="minorHAnsi" w:hAnsiTheme="minorHAnsi" w:cstheme="minorBidi"/>
          <w:b w:val="0"/>
          <w:bCs w:val="0"/>
          <w:color w:val="auto"/>
          <w:sz w:val="22"/>
          <w:szCs w:val="22"/>
          <w:lang w:val="en-CA" w:eastAsia="en-US"/>
        </w:rPr>
        <w:id w:val="2145082990"/>
        <w:docPartObj>
          <w:docPartGallery w:val="Table of Contents"/>
          <w:docPartUnique/>
        </w:docPartObj>
      </w:sdtPr>
      <w:sdtEndPr>
        <w:rPr>
          <w:noProof/>
        </w:rPr>
      </w:sdtEndPr>
      <w:sdtContent>
        <w:p w14:paraId="6301D63C" w14:textId="77777777" w:rsidR="00FC329B" w:rsidRDefault="00FC329B">
          <w:pPr>
            <w:pStyle w:val="TOCHeading"/>
          </w:pPr>
          <w:r>
            <w:t>Contents</w:t>
          </w:r>
        </w:p>
        <w:p w14:paraId="154435D1" w14:textId="77777777" w:rsidR="0093408B" w:rsidRDefault="00FC329B">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508092225" w:history="1">
            <w:r w:rsidR="0093408B" w:rsidRPr="00A97AB1">
              <w:rPr>
                <w:rStyle w:val="Hyperlink"/>
                <w:noProof/>
              </w:rPr>
              <w:t>Purpose</w:t>
            </w:r>
            <w:r w:rsidR="0093408B">
              <w:rPr>
                <w:noProof/>
                <w:webHidden/>
              </w:rPr>
              <w:tab/>
            </w:r>
            <w:r w:rsidR="0093408B">
              <w:rPr>
                <w:noProof/>
                <w:webHidden/>
              </w:rPr>
              <w:fldChar w:fldCharType="begin"/>
            </w:r>
            <w:r w:rsidR="0093408B">
              <w:rPr>
                <w:noProof/>
                <w:webHidden/>
              </w:rPr>
              <w:instrText xml:space="preserve"> PAGEREF _Toc508092225 \h </w:instrText>
            </w:r>
            <w:r w:rsidR="0093408B">
              <w:rPr>
                <w:noProof/>
                <w:webHidden/>
              </w:rPr>
            </w:r>
            <w:r w:rsidR="0093408B">
              <w:rPr>
                <w:noProof/>
                <w:webHidden/>
              </w:rPr>
              <w:fldChar w:fldCharType="separate"/>
            </w:r>
            <w:r w:rsidR="0093408B">
              <w:rPr>
                <w:noProof/>
                <w:webHidden/>
              </w:rPr>
              <w:t>1</w:t>
            </w:r>
            <w:r w:rsidR="0093408B">
              <w:rPr>
                <w:noProof/>
                <w:webHidden/>
              </w:rPr>
              <w:fldChar w:fldCharType="end"/>
            </w:r>
          </w:hyperlink>
        </w:p>
        <w:p w14:paraId="74D14A98" w14:textId="77777777" w:rsidR="0093408B" w:rsidRDefault="00145846">
          <w:pPr>
            <w:pStyle w:val="TOC1"/>
            <w:tabs>
              <w:tab w:val="right" w:leader="dot" w:pos="9350"/>
            </w:tabs>
            <w:rPr>
              <w:rFonts w:eastAsiaTheme="minorEastAsia"/>
              <w:noProof/>
              <w:lang w:val="en-US"/>
            </w:rPr>
          </w:pPr>
          <w:hyperlink w:anchor="_Toc508092226" w:history="1">
            <w:r w:rsidR="0093408B" w:rsidRPr="00A97AB1">
              <w:rPr>
                <w:rStyle w:val="Hyperlink"/>
                <w:noProof/>
              </w:rPr>
              <w:t>Scope</w:t>
            </w:r>
            <w:r w:rsidR="0093408B">
              <w:rPr>
                <w:noProof/>
                <w:webHidden/>
              </w:rPr>
              <w:tab/>
            </w:r>
            <w:r w:rsidR="0093408B">
              <w:rPr>
                <w:noProof/>
                <w:webHidden/>
              </w:rPr>
              <w:fldChar w:fldCharType="begin"/>
            </w:r>
            <w:r w:rsidR="0093408B">
              <w:rPr>
                <w:noProof/>
                <w:webHidden/>
              </w:rPr>
              <w:instrText xml:space="preserve"> PAGEREF _Toc508092226 \h </w:instrText>
            </w:r>
            <w:r w:rsidR="0093408B">
              <w:rPr>
                <w:noProof/>
                <w:webHidden/>
              </w:rPr>
            </w:r>
            <w:r w:rsidR="0093408B">
              <w:rPr>
                <w:noProof/>
                <w:webHidden/>
              </w:rPr>
              <w:fldChar w:fldCharType="separate"/>
            </w:r>
            <w:r w:rsidR="0093408B">
              <w:rPr>
                <w:noProof/>
                <w:webHidden/>
              </w:rPr>
              <w:t>1</w:t>
            </w:r>
            <w:r w:rsidR="0093408B">
              <w:rPr>
                <w:noProof/>
                <w:webHidden/>
              </w:rPr>
              <w:fldChar w:fldCharType="end"/>
            </w:r>
          </w:hyperlink>
        </w:p>
        <w:p w14:paraId="1C27A7DA" w14:textId="77777777" w:rsidR="0093408B" w:rsidRDefault="00145846">
          <w:pPr>
            <w:pStyle w:val="TOC1"/>
            <w:tabs>
              <w:tab w:val="right" w:leader="dot" w:pos="9350"/>
            </w:tabs>
            <w:rPr>
              <w:rFonts w:eastAsiaTheme="minorEastAsia"/>
              <w:noProof/>
              <w:lang w:val="en-US"/>
            </w:rPr>
          </w:pPr>
          <w:hyperlink w:anchor="_Toc508092227" w:history="1">
            <w:r w:rsidR="0093408B" w:rsidRPr="00A97AB1">
              <w:rPr>
                <w:rStyle w:val="Hyperlink"/>
                <w:noProof/>
              </w:rPr>
              <w:t>Responsibilities</w:t>
            </w:r>
            <w:r w:rsidR="0093408B">
              <w:rPr>
                <w:noProof/>
                <w:webHidden/>
              </w:rPr>
              <w:tab/>
            </w:r>
            <w:r w:rsidR="0093408B">
              <w:rPr>
                <w:noProof/>
                <w:webHidden/>
              </w:rPr>
              <w:fldChar w:fldCharType="begin"/>
            </w:r>
            <w:r w:rsidR="0093408B">
              <w:rPr>
                <w:noProof/>
                <w:webHidden/>
              </w:rPr>
              <w:instrText xml:space="preserve"> PAGEREF _Toc508092227 \h </w:instrText>
            </w:r>
            <w:r w:rsidR="0093408B">
              <w:rPr>
                <w:noProof/>
                <w:webHidden/>
              </w:rPr>
            </w:r>
            <w:r w:rsidR="0093408B">
              <w:rPr>
                <w:noProof/>
                <w:webHidden/>
              </w:rPr>
              <w:fldChar w:fldCharType="separate"/>
            </w:r>
            <w:r w:rsidR="0093408B">
              <w:rPr>
                <w:noProof/>
                <w:webHidden/>
              </w:rPr>
              <w:t>1</w:t>
            </w:r>
            <w:r w:rsidR="0093408B">
              <w:rPr>
                <w:noProof/>
                <w:webHidden/>
              </w:rPr>
              <w:fldChar w:fldCharType="end"/>
            </w:r>
          </w:hyperlink>
        </w:p>
        <w:p w14:paraId="385F089F" w14:textId="77777777" w:rsidR="0093408B" w:rsidRDefault="00145846">
          <w:pPr>
            <w:pStyle w:val="TOC2"/>
            <w:tabs>
              <w:tab w:val="right" w:leader="dot" w:pos="9350"/>
            </w:tabs>
            <w:rPr>
              <w:rFonts w:eastAsiaTheme="minorEastAsia"/>
              <w:noProof/>
              <w:lang w:val="en-US"/>
            </w:rPr>
          </w:pPr>
          <w:hyperlink w:anchor="_Toc508092228" w:history="1">
            <w:r w:rsidR="0093408B" w:rsidRPr="00A97AB1">
              <w:rPr>
                <w:rStyle w:val="Hyperlink"/>
                <w:noProof/>
              </w:rPr>
              <w:t>Supervisors</w:t>
            </w:r>
            <w:r w:rsidR="0093408B">
              <w:rPr>
                <w:noProof/>
                <w:webHidden/>
              </w:rPr>
              <w:tab/>
            </w:r>
            <w:r w:rsidR="0093408B">
              <w:rPr>
                <w:noProof/>
                <w:webHidden/>
              </w:rPr>
              <w:fldChar w:fldCharType="begin"/>
            </w:r>
            <w:r w:rsidR="0093408B">
              <w:rPr>
                <w:noProof/>
                <w:webHidden/>
              </w:rPr>
              <w:instrText xml:space="preserve"> PAGEREF _Toc508092228 \h </w:instrText>
            </w:r>
            <w:r w:rsidR="0093408B">
              <w:rPr>
                <w:noProof/>
                <w:webHidden/>
              </w:rPr>
            </w:r>
            <w:r w:rsidR="0093408B">
              <w:rPr>
                <w:noProof/>
                <w:webHidden/>
              </w:rPr>
              <w:fldChar w:fldCharType="separate"/>
            </w:r>
            <w:r w:rsidR="0093408B">
              <w:rPr>
                <w:noProof/>
                <w:webHidden/>
              </w:rPr>
              <w:t>1</w:t>
            </w:r>
            <w:r w:rsidR="0093408B">
              <w:rPr>
                <w:noProof/>
                <w:webHidden/>
              </w:rPr>
              <w:fldChar w:fldCharType="end"/>
            </w:r>
          </w:hyperlink>
        </w:p>
        <w:p w14:paraId="30DA9EF8" w14:textId="77777777" w:rsidR="0093408B" w:rsidRDefault="00145846">
          <w:pPr>
            <w:pStyle w:val="TOC2"/>
            <w:tabs>
              <w:tab w:val="right" w:leader="dot" w:pos="9350"/>
            </w:tabs>
            <w:rPr>
              <w:rFonts w:eastAsiaTheme="minorEastAsia"/>
              <w:noProof/>
              <w:lang w:val="en-US"/>
            </w:rPr>
          </w:pPr>
          <w:hyperlink w:anchor="_Toc508092229" w:history="1">
            <w:r w:rsidR="0093408B" w:rsidRPr="00A97AB1">
              <w:rPr>
                <w:rStyle w:val="Hyperlink"/>
                <w:noProof/>
              </w:rPr>
              <w:t>Workers</w:t>
            </w:r>
            <w:r w:rsidR="0093408B">
              <w:rPr>
                <w:noProof/>
                <w:webHidden/>
              </w:rPr>
              <w:tab/>
            </w:r>
            <w:r w:rsidR="0093408B">
              <w:rPr>
                <w:noProof/>
                <w:webHidden/>
              </w:rPr>
              <w:fldChar w:fldCharType="begin"/>
            </w:r>
            <w:r w:rsidR="0093408B">
              <w:rPr>
                <w:noProof/>
                <w:webHidden/>
              </w:rPr>
              <w:instrText xml:space="preserve"> PAGEREF _Toc508092229 \h </w:instrText>
            </w:r>
            <w:r w:rsidR="0093408B">
              <w:rPr>
                <w:noProof/>
                <w:webHidden/>
              </w:rPr>
            </w:r>
            <w:r w:rsidR="0093408B">
              <w:rPr>
                <w:noProof/>
                <w:webHidden/>
              </w:rPr>
              <w:fldChar w:fldCharType="separate"/>
            </w:r>
            <w:r w:rsidR="0093408B">
              <w:rPr>
                <w:noProof/>
                <w:webHidden/>
              </w:rPr>
              <w:t>2</w:t>
            </w:r>
            <w:r w:rsidR="0093408B">
              <w:rPr>
                <w:noProof/>
                <w:webHidden/>
              </w:rPr>
              <w:fldChar w:fldCharType="end"/>
            </w:r>
          </w:hyperlink>
        </w:p>
        <w:p w14:paraId="4E115673" w14:textId="77777777" w:rsidR="0093408B" w:rsidRDefault="00145846">
          <w:pPr>
            <w:pStyle w:val="TOC1"/>
            <w:tabs>
              <w:tab w:val="right" w:leader="dot" w:pos="9350"/>
            </w:tabs>
            <w:rPr>
              <w:rFonts w:eastAsiaTheme="minorEastAsia"/>
              <w:noProof/>
              <w:lang w:val="en-US"/>
            </w:rPr>
          </w:pPr>
          <w:hyperlink w:anchor="_Toc508092230" w:history="1">
            <w:r w:rsidR="0093408B" w:rsidRPr="00A97AB1">
              <w:rPr>
                <w:rStyle w:val="Hyperlink"/>
                <w:noProof/>
              </w:rPr>
              <w:t>Equipment Needed</w:t>
            </w:r>
            <w:r w:rsidR="0093408B">
              <w:rPr>
                <w:noProof/>
                <w:webHidden/>
              </w:rPr>
              <w:tab/>
            </w:r>
            <w:r w:rsidR="0093408B">
              <w:rPr>
                <w:noProof/>
                <w:webHidden/>
              </w:rPr>
              <w:fldChar w:fldCharType="begin"/>
            </w:r>
            <w:r w:rsidR="0093408B">
              <w:rPr>
                <w:noProof/>
                <w:webHidden/>
              </w:rPr>
              <w:instrText xml:space="preserve"> PAGEREF _Toc508092230 \h </w:instrText>
            </w:r>
            <w:r w:rsidR="0093408B">
              <w:rPr>
                <w:noProof/>
                <w:webHidden/>
              </w:rPr>
            </w:r>
            <w:r w:rsidR="0093408B">
              <w:rPr>
                <w:noProof/>
                <w:webHidden/>
              </w:rPr>
              <w:fldChar w:fldCharType="separate"/>
            </w:r>
            <w:r w:rsidR="0093408B">
              <w:rPr>
                <w:noProof/>
                <w:webHidden/>
              </w:rPr>
              <w:t>2</w:t>
            </w:r>
            <w:r w:rsidR="0093408B">
              <w:rPr>
                <w:noProof/>
                <w:webHidden/>
              </w:rPr>
              <w:fldChar w:fldCharType="end"/>
            </w:r>
          </w:hyperlink>
        </w:p>
        <w:p w14:paraId="0A2E6920" w14:textId="77777777" w:rsidR="0093408B" w:rsidRDefault="00145846">
          <w:pPr>
            <w:pStyle w:val="TOC1"/>
            <w:tabs>
              <w:tab w:val="right" w:leader="dot" w:pos="9350"/>
            </w:tabs>
            <w:rPr>
              <w:rFonts w:eastAsiaTheme="minorEastAsia"/>
              <w:noProof/>
              <w:lang w:val="en-US"/>
            </w:rPr>
          </w:pPr>
          <w:hyperlink w:anchor="_Toc508092231" w:history="1">
            <w:r w:rsidR="0093408B" w:rsidRPr="00A97AB1">
              <w:rPr>
                <w:rStyle w:val="Hyperlink"/>
                <w:noProof/>
              </w:rPr>
              <w:t>Procedure</w:t>
            </w:r>
            <w:r w:rsidR="0093408B">
              <w:rPr>
                <w:noProof/>
                <w:webHidden/>
              </w:rPr>
              <w:tab/>
            </w:r>
            <w:r w:rsidR="0093408B">
              <w:rPr>
                <w:noProof/>
                <w:webHidden/>
              </w:rPr>
              <w:fldChar w:fldCharType="begin"/>
            </w:r>
            <w:r w:rsidR="0093408B">
              <w:rPr>
                <w:noProof/>
                <w:webHidden/>
              </w:rPr>
              <w:instrText xml:space="preserve"> PAGEREF _Toc508092231 \h </w:instrText>
            </w:r>
            <w:r w:rsidR="0093408B">
              <w:rPr>
                <w:noProof/>
                <w:webHidden/>
              </w:rPr>
            </w:r>
            <w:r w:rsidR="0093408B">
              <w:rPr>
                <w:noProof/>
                <w:webHidden/>
              </w:rPr>
              <w:fldChar w:fldCharType="separate"/>
            </w:r>
            <w:r w:rsidR="0093408B">
              <w:rPr>
                <w:noProof/>
                <w:webHidden/>
              </w:rPr>
              <w:t>2</w:t>
            </w:r>
            <w:r w:rsidR="0093408B">
              <w:rPr>
                <w:noProof/>
                <w:webHidden/>
              </w:rPr>
              <w:fldChar w:fldCharType="end"/>
            </w:r>
          </w:hyperlink>
        </w:p>
        <w:p w14:paraId="3183A0F4" w14:textId="77777777" w:rsidR="0093408B" w:rsidRDefault="00145846">
          <w:pPr>
            <w:pStyle w:val="TOC1"/>
            <w:tabs>
              <w:tab w:val="right" w:leader="dot" w:pos="9350"/>
            </w:tabs>
            <w:rPr>
              <w:rFonts w:eastAsiaTheme="minorEastAsia"/>
              <w:noProof/>
              <w:lang w:val="en-US"/>
            </w:rPr>
          </w:pPr>
          <w:hyperlink w:anchor="_Toc508092232" w:history="1">
            <w:r w:rsidR="0093408B" w:rsidRPr="00A97AB1">
              <w:rPr>
                <w:rStyle w:val="Hyperlink"/>
                <w:noProof/>
                <w:lang w:val="en-US"/>
              </w:rPr>
              <w:t>Training</w:t>
            </w:r>
            <w:r w:rsidR="0093408B">
              <w:rPr>
                <w:noProof/>
                <w:webHidden/>
              </w:rPr>
              <w:tab/>
            </w:r>
            <w:r w:rsidR="0093408B">
              <w:rPr>
                <w:noProof/>
                <w:webHidden/>
              </w:rPr>
              <w:fldChar w:fldCharType="begin"/>
            </w:r>
            <w:r w:rsidR="0093408B">
              <w:rPr>
                <w:noProof/>
                <w:webHidden/>
              </w:rPr>
              <w:instrText xml:space="preserve"> PAGEREF _Toc508092232 \h </w:instrText>
            </w:r>
            <w:r w:rsidR="0093408B">
              <w:rPr>
                <w:noProof/>
                <w:webHidden/>
              </w:rPr>
            </w:r>
            <w:r w:rsidR="0093408B">
              <w:rPr>
                <w:noProof/>
                <w:webHidden/>
              </w:rPr>
              <w:fldChar w:fldCharType="separate"/>
            </w:r>
            <w:r w:rsidR="0093408B">
              <w:rPr>
                <w:noProof/>
                <w:webHidden/>
              </w:rPr>
              <w:t>3</w:t>
            </w:r>
            <w:r w:rsidR="0093408B">
              <w:rPr>
                <w:noProof/>
                <w:webHidden/>
              </w:rPr>
              <w:fldChar w:fldCharType="end"/>
            </w:r>
          </w:hyperlink>
        </w:p>
        <w:p w14:paraId="7552474C" w14:textId="77777777" w:rsidR="00FC329B" w:rsidRDefault="00FC329B" w:rsidP="00FC329B">
          <w:pPr>
            <w:rPr>
              <w:b/>
              <w:bCs/>
              <w:noProof/>
            </w:rPr>
          </w:pPr>
          <w:r>
            <w:rPr>
              <w:b/>
              <w:bCs/>
              <w:noProof/>
            </w:rPr>
            <w:fldChar w:fldCharType="end"/>
          </w:r>
        </w:p>
      </w:sdtContent>
    </w:sdt>
    <w:p w14:paraId="70862059" w14:textId="77777777" w:rsidR="00513BA9" w:rsidRDefault="00D93CA5" w:rsidP="00D93CA5">
      <w:pPr>
        <w:pStyle w:val="Heading1"/>
      </w:pPr>
      <w:bookmarkStart w:id="0" w:name="_Toc508092225"/>
      <w:r>
        <w:t>Purpose</w:t>
      </w:r>
      <w:bookmarkEnd w:id="0"/>
    </w:p>
    <w:p w14:paraId="6493EC58" w14:textId="43652BCC" w:rsidR="00533E0F" w:rsidRDefault="00533E0F">
      <w:r w:rsidRPr="00E7202D">
        <w:rPr>
          <w:highlight w:val="cyan"/>
        </w:rPr>
        <w:t>&lt;&lt;&lt;&lt; This SOP is left in DOCX format so that you may edit it for your own laboratory</w:t>
      </w:r>
      <w:r w:rsidR="00377F68">
        <w:rPr>
          <w:highlight w:val="cyan"/>
        </w:rPr>
        <w:t xml:space="preserve"> and your own make and model of </w:t>
      </w:r>
      <w:r w:rsidR="00D46516">
        <w:rPr>
          <w:highlight w:val="cyan"/>
        </w:rPr>
        <w:t>homogenizer</w:t>
      </w:r>
      <w:r w:rsidR="00377F68">
        <w:rPr>
          <w:highlight w:val="cyan"/>
        </w:rPr>
        <w:t xml:space="preserve"> mixer</w:t>
      </w:r>
      <w:r w:rsidRPr="00E7202D">
        <w:rPr>
          <w:highlight w:val="cyan"/>
        </w:rPr>
        <w:t>&gt;&gt;&gt;</w:t>
      </w:r>
    </w:p>
    <w:p w14:paraId="19DEC91B" w14:textId="781B55EC" w:rsidR="00D93CA5" w:rsidRDefault="00D93CA5">
      <w:r>
        <w:t xml:space="preserve">The purpose of this SOP is to lay out the responsibilities, equipment and procedures required for </w:t>
      </w:r>
      <w:r w:rsidR="008C511E">
        <w:t xml:space="preserve">the use of a laboratory </w:t>
      </w:r>
      <w:r w:rsidR="00D46516">
        <w:t>homogenizers to process biohazardous materials</w:t>
      </w:r>
      <w:r w:rsidR="008C511E">
        <w:t>.</w:t>
      </w:r>
    </w:p>
    <w:p w14:paraId="12D5E22F" w14:textId="77777777" w:rsidR="00D93CA5" w:rsidRDefault="00D93CA5" w:rsidP="00D93CA5">
      <w:pPr>
        <w:pStyle w:val="Heading1"/>
      </w:pPr>
      <w:bookmarkStart w:id="1" w:name="_Toc508092226"/>
      <w:r>
        <w:t>Scope</w:t>
      </w:r>
      <w:bookmarkEnd w:id="1"/>
    </w:p>
    <w:p w14:paraId="3252E297" w14:textId="0CAC2DE5" w:rsidR="00D93CA5" w:rsidRDefault="00D93CA5">
      <w:r>
        <w:t xml:space="preserve">This SOP applies to all persons </w:t>
      </w:r>
      <w:r w:rsidR="00E35943">
        <w:t xml:space="preserve">prescribing and </w:t>
      </w:r>
      <w:r w:rsidR="000F10A5">
        <w:t xml:space="preserve">requiring </w:t>
      </w:r>
      <w:proofErr w:type="gramStart"/>
      <w:r w:rsidR="00E35943">
        <w:t>to use</w:t>
      </w:r>
      <w:proofErr w:type="gramEnd"/>
      <w:r w:rsidR="00E35943">
        <w:t xml:space="preserve"> </w:t>
      </w:r>
      <w:r w:rsidR="00F67C8E">
        <w:t>a</w:t>
      </w:r>
      <w:r w:rsidR="008C511E">
        <w:t xml:space="preserve"> laboratory</w:t>
      </w:r>
      <w:r w:rsidR="00A42050">
        <w:t xml:space="preserve"> </w:t>
      </w:r>
      <w:r w:rsidR="00A42050" w:rsidRPr="00A42050">
        <w:rPr>
          <w:u w:val="single"/>
        </w:rPr>
        <w:t>blender-style</w:t>
      </w:r>
      <w:r w:rsidR="008C511E">
        <w:t xml:space="preserve"> </w:t>
      </w:r>
      <w:r w:rsidR="00D46516">
        <w:t>homogenizer to process biohazardous materials</w:t>
      </w:r>
      <w:r w:rsidR="008C511E">
        <w:t>.</w:t>
      </w:r>
    </w:p>
    <w:p w14:paraId="44696503" w14:textId="1E6DAC26" w:rsidR="00A42050" w:rsidRDefault="00A42050">
      <w:r>
        <w:t>It is recommended that where possible, to purchase a ‘bead mill’ style of homogenizer due to ease and safety features of this tec</w:t>
      </w:r>
      <w:bookmarkStart w:id="2" w:name="_GoBack"/>
      <w:bookmarkEnd w:id="2"/>
      <w:r>
        <w:t>hnology.</w:t>
      </w:r>
    </w:p>
    <w:p w14:paraId="30CB9991" w14:textId="77777777" w:rsidR="00D93CA5" w:rsidRDefault="00D93CA5" w:rsidP="00D93CA5">
      <w:pPr>
        <w:pStyle w:val="Heading1"/>
      </w:pPr>
      <w:bookmarkStart w:id="3" w:name="_Toc508092227"/>
      <w:r>
        <w:t>Responsibilities</w:t>
      </w:r>
      <w:bookmarkEnd w:id="3"/>
    </w:p>
    <w:p w14:paraId="0DCF19EF" w14:textId="77777777" w:rsidR="00D93CA5" w:rsidRDefault="00D93CA5" w:rsidP="00D93CA5">
      <w:pPr>
        <w:pStyle w:val="Heading2"/>
      </w:pPr>
      <w:bookmarkStart w:id="4" w:name="_Toc508092228"/>
      <w:r>
        <w:t>Supervisors</w:t>
      </w:r>
      <w:bookmarkEnd w:id="4"/>
    </w:p>
    <w:p w14:paraId="5D229986" w14:textId="77777777" w:rsidR="00D93CA5" w:rsidRDefault="00D93CA5">
      <w:r>
        <w:t>Supervisors are responsible for:</w:t>
      </w:r>
    </w:p>
    <w:p w14:paraId="334AB884" w14:textId="1EA74DB2" w:rsidR="00716926" w:rsidRPr="00CE1B3F" w:rsidRDefault="00716926" w:rsidP="00716926">
      <w:pPr>
        <w:pStyle w:val="ListParagraph"/>
        <w:numPr>
          <w:ilvl w:val="0"/>
          <w:numId w:val="1"/>
        </w:numPr>
        <w:rPr>
          <w:b/>
        </w:rPr>
      </w:pPr>
      <w:r w:rsidRPr="0088198D">
        <w:rPr>
          <w:b/>
        </w:rPr>
        <w:t xml:space="preserve">Reviewing this SOP on </w:t>
      </w:r>
      <w:r w:rsidR="00562350">
        <w:rPr>
          <w:b/>
        </w:rPr>
        <w:t>a regular</w:t>
      </w:r>
      <w:r w:rsidRPr="0088198D">
        <w:rPr>
          <w:b/>
        </w:rPr>
        <w:t xml:space="preserve"> basis. Review is to consider and mitigate the risks of spill, loss of containment and exposure or other harm.</w:t>
      </w:r>
      <w:r>
        <w:rPr>
          <w:b/>
        </w:rPr>
        <w:t xml:space="preserve"> </w:t>
      </w:r>
      <w:r w:rsidRPr="00CE1B3F">
        <w:rPr>
          <w:b/>
        </w:rPr>
        <w:t xml:space="preserve">Refer to </w:t>
      </w:r>
      <w:r>
        <w:rPr>
          <w:b/>
        </w:rPr>
        <w:t>Performing Risk Assessments SOP.</w:t>
      </w:r>
    </w:p>
    <w:p w14:paraId="798AC392" w14:textId="1CB92061" w:rsidR="00E35943" w:rsidRDefault="00E35943" w:rsidP="00A54494">
      <w:pPr>
        <w:pStyle w:val="ListParagraph"/>
        <w:numPr>
          <w:ilvl w:val="0"/>
          <w:numId w:val="1"/>
        </w:numPr>
      </w:pPr>
      <w:r>
        <w:t xml:space="preserve">Ensuring the </w:t>
      </w:r>
      <w:r w:rsidR="008C511E">
        <w:t>equipment is</w:t>
      </w:r>
      <w:r w:rsidR="00A54494">
        <w:t xml:space="preserve"> in good working order.</w:t>
      </w:r>
    </w:p>
    <w:p w14:paraId="3143F7AB" w14:textId="3D8374C6" w:rsidR="00D93CA5" w:rsidRDefault="00D93CA5" w:rsidP="00D93CA5">
      <w:pPr>
        <w:pStyle w:val="ListParagraph"/>
        <w:numPr>
          <w:ilvl w:val="0"/>
          <w:numId w:val="1"/>
        </w:numPr>
      </w:pPr>
      <w:r>
        <w:lastRenderedPageBreak/>
        <w:t>Ensuring that all workers under their supervision are trained on and are proficient in performing the step</w:t>
      </w:r>
      <w:r w:rsidR="00E35943">
        <w:t>s</w:t>
      </w:r>
      <w:r>
        <w:t xml:space="preserve"> of this SOP.</w:t>
      </w:r>
    </w:p>
    <w:p w14:paraId="17813603" w14:textId="77777777" w:rsidR="00D93CA5" w:rsidRDefault="00D93CA5" w:rsidP="00D93CA5">
      <w:pPr>
        <w:pStyle w:val="Heading2"/>
      </w:pPr>
      <w:bookmarkStart w:id="5" w:name="_Toc508092229"/>
      <w:r>
        <w:t>Workers</w:t>
      </w:r>
      <w:bookmarkEnd w:id="5"/>
    </w:p>
    <w:p w14:paraId="5301D13A" w14:textId="77777777" w:rsidR="00D93CA5" w:rsidRDefault="00D93CA5" w:rsidP="00D93CA5">
      <w:r>
        <w:t>Workers are responsible for:</w:t>
      </w:r>
    </w:p>
    <w:p w14:paraId="07C48A7F" w14:textId="77777777" w:rsidR="00944930" w:rsidRDefault="00944930" w:rsidP="00944930">
      <w:pPr>
        <w:pStyle w:val="ListParagraph"/>
        <w:numPr>
          <w:ilvl w:val="0"/>
          <w:numId w:val="3"/>
        </w:numPr>
      </w:pPr>
      <w:r>
        <w:t>Following this SOP as approved by their supervisor</w:t>
      </w:r>
    </w:p>
    <w:p w14:paraId="1A01D73F" w14:textId="77777777" w:rsidR="00944930" w:rsidRDefault="00944930" w:rsidP="003E20D3">
      <w:pPr>
        <w:pStyle w:val="ListParagraph"/>
        <w:numPr>
          <w:ilvl w:val="0"/>
          <w:numId w:val="3"/>
        </w:numPr>
      </w:pPr>
      <w:r>
        <w:t>Reporting any broken equipment immediately to their supervisor</w:t>
      </w:r>
    </w:p>
    <w:p w14:paraId="53AB4CB3" w14:textId="77777777" w:rsidR="00D93CA5" w:rsidRDefault="00D93CA5" w:rsidP="00D93CA5">
      <w:pPr>
        <w:pStyle w:val="Heading1"/>
      </w:pPr>
      <w:bookmarkStart w:id="6" w:name="_Toc508092230"/>
      <w:r>
        <w:t>Equipment Needed</w:t>
      </w:r>
      <w:bookmarkEnd w:id="6"/>
    </w:p>
    <w:p w14:paraId="051BF4FF" w14:textId="5C10A73F" w:rsidR="008C511E" w:rsidRDefault="00D46516" w:rsidP="00377F68">
      <w:pPr>
        <w:pStyle w:val="ListParagraph"/>
        <w:numPr>
          <w:ilvl w:val="0"/>
          <w:numId w:val="25"/>
        </w:numPr>
      </w:pPr>
      <w:r>
        <w:t>Homogenizer</w:t>
      </w:r>
    </w:p>
    <w:p w14:paraId="77F6D0F1" w14:textId="6055631C" w:rsidR="00A96A65" w:rsidRDefault="00D46516" w:rsidP="00A96A65">
      <w:pPr>
        <w:pStyle w:val="ListParagraph"/>
        <w:numPr>
          <w:ilvl w:val="0"/>
          <w:numId w:val="25"/>
        </w:numPr>
      </w:pPr>
      <w:r>
        <w:t>Sealed chambers</w:t>
      </w:r>
    </w:p>
    <w:p w14:paraId="177271A3" w14:textId="65DEE023" w:rsidR="00D46516" w:rsidRDefault="00D46516" w:rsidP="00377F68">
      <w:pPr>
        <w:pStyle w:val="ListParagraph"/>
        <w:numPr>
          <w:ilvl w:val="0"/>
          <w:numId w:val="25"/>
        </w:numPr>
      </w:pPr>
      <w:proofErr w:type="spellStart"/>
      <w:r>
        <w:t>Kimwipes</w:t>
      </w:r>
      <w:proofErr w:type="spellEnd"/>
      <w:r>
        <w:t xml:space="preserve"> or paper towel</w:t>
      </w:r>
    </w:p>
    <w:p w14:paraId="5B6117B6" w14:textId="718808A8" w:rsidR="00D46516" w:rsidRDefault="00D46516" w:rsidP="00377F68">
      <w:pPr>
        <w:pStyle w:val="ListParagraph"/>
        <w:numPr>
          <w:ilvl w:val="0"/>
          <w:numId w:val="25"/>
        </w:numPr>
      </w:pPr>
      <w:r>
        <w:t>Disinfectant</w:t>
      </w:r>
    </w:p>
    <w:p w14:paraId="7EE16DFD" w14:textId="000F7DF3" w:rsidR="00A96A65" w:rsidRDefault="00A96A65" w:rsidP="00377F68">
      <w:pPr>
        <w:pStyle w:val="ListParagraph"/>
        <w:numPr>
          <w:ilvl w:val="0"/>
          <w:numId w:val="25"/>
        </w:numPr>
      </w:pPr>
      <w:r>
        <w:t xml:space="preserve">Liquid waste </w:t>
      </w:r>
      <w:r w:rsidR="00241918">
        <w:t>beaker</w:t>
      </w:r>
    </w:p>
    <w:p w14:paraId="0E79DDF0" w14:textId="795A8642" w:rsidR="00D46516" w:rsidRDefault="00D46516" w:rsidP="00377F68">
      <w:pPr>
        <w:pStyle w:val="ListParagraph"/>
        <w:numPr>
          <w:ilvl w:val="0"/>
          <w:numId w:val="25"/>
        </w:numPr>
      </w:pPr>
      <w:r>
        <w:t>Squirt bottle of 70% ethanol</w:t>
      </w:r>
    </w:p>
    <w:p w14:paraId="5E910EAF" w14:textId="1817A0E7" w:rsidR="00A96A65" w:rsidRDefault="00A96A65" w:rsidP="00377F68">
      <w:pPr>
        <w:pStyle w:val="ListParagraph"/>
        <w:numPr>
          <w:ilvl w:val="0"/>
          <w:numId w:val="25"/>
        </w:numPr>
      </w:pPr>
      <w:r>
        <w:t>Squirt bottle of MilliQ water</w:t>
      </w:r>
    </w:p>
    <w:p w14:paraId="1C928041" w14:textId="540F78C1" w:rsidR="008C511E" w:rsidRDefault="00A96A65" w:rsidP="008C511E">
      <w:pPr>
        <w:pStyle w:val="Heading1"/>
      </w:pPr>
      <w:bookmarkStart w:id="7" w:name="_Toc508092231"/>
      <w:r>
        <w:t>Procedure</w:t>
      </w:r>
      <w:bookmarkEnd w:id="7"/>
    </w:p>
    <w:p w14:paraId="339B2812" w14:textId="625D1460" w:rsidR="00A42050" w:rsidRDefault="00A42050" w:rsidP="008C511E">
      <w:pPr>
        <w:pStyle w:val="ListParagraph"/>
        <w:numPr>
          <w:ilvl w:val="0"/>
          <w:numId w:val="22"/>
        </w:numPr>
        <w:rPr>
          <w:lang w:val="en-US"/>
        </w:rPr>
      </w:pPr>
      <w:r>
        <w:rPr>
          <w:lang w:val="en-US"/>
        </w:rPr>
        <w:t>Homogenizing a sample does not sterilize it, or render it safe. If the sample is BSL2, you must work at BSL2 at all times.</w:t>
      </w:r>
    </w:p>
    <w:p w14:paraId="6852863C" w14:textId="37537D12" w:rsidR="008C511E" w:rsidRDefault="00A96A65" w:rsidP="008C511E">
      <w:pPr>
        <w:pStyle w:val="ListParagraph"/>
        <w:numPr>
          <w:ilvl w:val="0"/>
          <w:numId w:val="22"/>
        </w:numPr>
        <w:rPr>
          <w:lang w:val="en-US"/>
        </w:rPr>
      </w:pPr>
      <w:r>
        <w:rPr>
          <w:lang w:val="en-US"/>
        </w:rPr>
        <w:t>Set up homogenizer in BSC.</w:t>
      </w:r>
    </w:p>
    <w:p w14:paraId="15FA94EE" w14:textId="49302921" w:rsidR="00A96A65" w:rsidRDefault="00A96A65" w:rsidP="008C511E">
      <w:pPr>
        <w:pStyle w:val="ListParagraph"/>
        <w:numPr>
          <w:ilvl w:val="0"/>
          <w:numId w:val="22"/>
        </w:numPr>
        <w:rPr>
          <w:lang w:val="en-US"/>
        </w:rPr>
      </w:pPr>
      <w:r>
        <w:rPr>
          <w:lang w:val="en-US"/>
        </w:rPr>
        <w:t>Pre-fill chambers with homogenization buffer and place on ice inside BSC.</w:t>
      </w:r>
    </w:p>
    <w:p w14:paraId="7098570E" w14:textId="1F50B736" w:rsidR="00A96A65" w:rsidRDefault="00A96A65" w:rsidP="008C511E">
      <w:pPr>
        <w:pStyle w:val="ListParagraph"/>
        <w:numPr>
          <w:ilvl w:val="0"/>
          <w:numId w:val="22"/>
        </w:numPr>
        <w:rPr>
          <w:lang w:val="en-US"/>
        </w:rPr>
      </w:pPr>
      <w:r>
        <w:rPr>
          <w:lang w:val="en-US"/>
        </w:rPr>
        <w:t>Pre-label tubes for downstream application and place on ice inside BSC.</w:t>
      </w:r>
    </w:p>
    <w:p w14:paraId="06138EA1" w14:textId="18F1F96D" w:rsidR="00A96A65" w:rsidRDefault="00A96A65" w:rsidP="008C511E">
      <w:pPr>
        <w:pStyle w:val="ListParagraph"/>
        <w:numPr>
          <w:ilvl w:val="0"/>
          <w:numId w:val="22"/>
        </w:numPr>
        <w:rPr>
          <w:lang w:val="en-US"/>
        </w:rPr>
      </w:pPr>
      <w:r>
        <w:rPr>
          <w:lang w:val="en-US"/>
        </w:rPr>
        <w:t>Transfer samples from -70C to liquid nitrogen and bring to table beside BSC.</w:t>
      </w:r>
    </w:p>
    <w:p w14:paraId="57A6B971" w14:textId="7998BDBF" w:rsidR="00A96A65" w:rsidRDefault="00A96A65" w:rsidP="008C511E">
      <w:pPr>
        <w:pStyle w:val="ListParagraph"/>
        <w:numPr>
          <w:ilvl w:val="0"/>
          <w:numId w:val="22"/>
        </w:numPr>
        <w:rPr>
          <w:lang w:val="en-US"/>
        </w:rPr>
      </w:pPr>
      <w:r>
        <w:rPr>
          <w:lang w:val="en-US"/>
        </w:rPr>
        <w:t xml:space="preserve">For each sample at a time, retrieve from liquid nitrogen with forceps, </w:t>
      </w:r>
      <w:r w:rsidR="00C80A97">
        <w:rPr>
          <w:lang w:val="en-US"/>
        </w:rPr>
        <w:t xml:space="preserve">inside BSC </w:t>
      </w:r>
      <w:r>
        <w:rPr>
          <w:lang w:val="en-US"/>
        </w:rPr>
        <w:t>transfer tissue into chamber with homogenization buffer and seal chamber.</w:t>
      </w:r>
    </w:p>
    <w:p w14:paraId="6AC0E17C" w14:textId="3FC2218D" w:rsidR="00A96A65" w:rsidRDefault="00A96A65" w:rsidP="008C511E">
      <w:pPr>
        <w:pStyle w:val="ListParagraph"/>
        <w:numPr>
          <w:ilvl w:val="0"/>
          <w:numId w:val="22"/>
        </w:numPr>
        <w:rPr>
          <w:lang w:val="en-US"/>
        </w:rPr>
      </w:pPr>
      <w:r>
        <w:rPr>
          <w:lang w:val="en-US"/>
        </w:rPr>
        <w:t>Homogenize sample per homogenizer instructions.</w:t>
      </w:r>
    </w:p>
    <w:p w14:paraId="5D8483D3" w14:textId="7FEE6C73" w:rsidR="00A96A65" w:rsidRDefault="00A96A65" w:rsidP="008C511E">
      <w:pPr>
        <w:pStyle w:val="ListParagraph"/>
        <w:numPr>
          <w:ilvl w:val="0"/>
          <w:numId w:val="22"/>
        </w:numPr>
        <w:rPr>
          <w:lang w:val="en-US"/>
        </w:rPr>
      </w:pPr>
      <w:r>
        <w:rPr>
          <w:lang w:val="en-US"/>
        </w:rPr>
        <w:t>Transfer homogenate into appropriately labelled sample tube.</w:t>
      </w:r>
    </w:p>
    <w:p w14:paraId="158DE748" w14:textId="418857CF" w:rsidR="00A96A65" w:rsidRDefault="00A96A65" w:rsidP="008C511E">
      <w:pPr>
        <w:pStyle w:val="ListParagraph"/>
        <w:numPr>
          <w:ilvl w:val="0"/>
          <w:numId w:val="22"/>
        </w:numPr>
        <w:rPr>
          <w:lang w:val="en-US"/>
        </w:rPr>
      </w:pPr>
      <w:r>
        <w:rPr>
          <w:lang w:val="en-US"/>
        </w:rPr>
        <w:t xml:space="preserve">Using squirt bottle, rinse chamber and blade with 70%, collecting runoff in waste </w:t>
      </w:r>
      <w:r w:rsidR="00241918">
        <w:rPr>
          <w:lang w:val="en-US"/>
        </w:rPr>
        <w:t>beaker</w:t>
      </w:r>
      <w:r>
        <w:rPr>
          <w:lang w:val="en-US"/>
        </w:rPr>
        <w:t>.</w:t>
      </w:r>
    </w:p>
    <w:p w14:paraId="78C379ED" w14:textId="30801069" w:rsidR="00A96A65" w:rsidRDefault="00A96A65" w:rsidP="008C511E">
      <w:pPr>
        <w:pStyle w:val="ListParagraph"/>
        <w:numPr>
          <w:ilvl w:val="0"/>
          <w:numId w:val="22"/>
        </w:numPr>
        <w:rPr>
          <w:lang w:val="en-US"/>
        </w:rPr>
      </w:pPr>
      <w:r>
        <w:rPr>
          <w:lang w:val="en-US"/>
        </w:rPr>
        <w:t xml:space="preserve">Using squirt bottle, rinse chamber and blade with MilliQ water, collecting runoff in waste </w:t>
      </w:r>
      <w:r w:rsidR="00241918">
        <w:rPr>
          <w:lang w:val="en-US"/>
        </w:rPr>
        <w:t>beaker</w:t>
      </w:r>
      <w:r>
        <w:rPr>
          <w:lang w:val="en-US"/>
        </w:rPr>
        <w:t>.</w:t>
      </w:r>
    </w:p>
    <w:p w14:paraId="65F20D53" w14:textId="39A771AD" w:rsidR="00A42050" w:rsidRDefault="00A42050" w:rsidP="008C511E">
      <w:pPr>
        <w:pStyle w:val="ListParagraph"/>
        <w:numPr>
          <w:ilvl w:val="0"/>
          <w:numId w:val="22"/>
        </w:numPr>
        <w:rPr>
          <w:lang w:val="en-US"/>
        </w:rPr>
      </w:pPr>
      <w:r>
        <w:rPr>
          <w:lang w:val="en-US"/>
        </w:rPr>
        <w:t>Re-use chamber and blade if necessary.</w:t>
      </w:r>
    </w:p>
    <w:p w14:paraId="5D0F93D6" w14:textId="6C7D0D7C" w:rsidR="00A42050" w:rsidRDefault="00A42050" w:rsidP="008C511E">
      <w:pPr>
        <w:pStyle w:val="ListParagraph"/>
        <w:numPr>
          <w:ilvl w:val="0"/>
          <w:numId w:val="22"/>
        </w:numPr>
        <w:rPr>
          <w:lang w:val="en-US"/>
        </w:rPr>
      </w:pPr>
      <w:r>
        <w:rPr>
          <w:lang w:val="en-US"/>
        </w:rPr>
        <w:t>Upon completion of all samples, rinse chamber and blade as above. Then wash in warm soapy water, rinse well and allow to dry.</w:t>
      </w:r>
    </w:p>
    <w:p w14:paraId="417B89AE" w14:textId="5EF17B7A" w:rsidR="00A42050" w:rsidRDefault="00A42050" w:rsidP="008C511E">
      <w:pPr>
        <w:pStyle w:val="ListParagraph"/>
        <w:numPr>
          <w:ilvl w:val="0"/>
          <w:numId w:val="22"/>
        </w:numPr>
        <w:rPr>
          <w:lang w:val="en-US"/>
        </w:rPr>
      </w:pPr>
      <w:r>
        <w:rPr>
          <w:lang w:val="en-US"/>
        </w:rPr>
        <w:t xml:space="preserve">Place a handful of paper towels into the bag containing your solid waste in BSC. Pour runoff onto paper towels in bags. </w:t>
      </w:r>
      <w:r w:rsidR="00241918">
        <w:rPr>
          <w:lang w:val="en-US"/>
        </w:rPr>
        <w:t xml:space="preserve">Use MilliQ bottle to rinse beaker. </w:t>
      </w:r>
      <w:r>
        <w:rPr>
          <w:lang w:val="en-US"/>
        </w:rPr>
        <w:t>Add more paper towels to bag if necessary. There should be no leaks or drips. Collect all solid waste in BSC into bag and close bag. Spray out and deposit into biohazard waste.</w:t>
      </w:r>
    </w:p>
    <w:p w14:paraId="67C0DA21" w14:textId="1E84FE4D" w:rsidR="00A42050" w:rsidRDefault="00A42050" w:rsidP="008C511E">
      <w:pPr>
        <w:pStyle w:val="ListParagraph"/>
        <w:numPr>
          <w:ilvl w:val="0"/>
          <w:numId w:val="22"/>
        </w:numPr>
        <w:rPr>
          <w:lang w:val="en-US"/>
        </w:rPr>
      </w:pPr>
      <w:r>
        <w:rPr>
          <w:lang w:val="en-US"/>
        </w:rPr>
        <w:t>Wash liquid waste beakers in warm soapy water, rinse well and allow to dry.</w:t>
      </w:r>
    </w:p>
    <w:p w14:paraId="6BBDF2DA" w14:textId="6F1C8159" w:rsidR="00A42050" w:rsidRDefault="00A42050" w:rsidP="008C511E">
      <w:pPr>
        <w:pStyle w:val="ListParagraph"/>
        <w:numPr>
          <w:ilvl w:val="0"/>
          <w:numId w:val="22"/>
        </w:numPr>
        <w:rPr>
          <w:lang w:val="en-US"/>
        </w:rPr>
      </w:pPr>
      <w:r>
        <w:rPr>
          <w:lang w:val="en-US"/>
        </w:rPr>
        <w:lastRenderedPageBreak/>
        <w:t>Process samples in downstream application, keeping at BSL2 if samples contain risk group 2 organisms, until inactivated.</w:t>
      </w:r>
    </w:p>
    <w:p w14:paraId="7110ECC0" w14:textId="77777777" w:rsidR="00377F68" w:rsidRPr="00903643" w:rsidRDefault="00377F68" w:rsidP="00377F68">
      <w:pPr>
        <w:pStyle w:val="Heading1"/>
        <w:rPr>
          <w:lang w:val="en-US"/>
        </w:rPr>
      </w:pPr>
      <w:bookmarkStart w:id="8" w:name="_Toc446531650"/>
      <w:bookmarkStart w:id="9" w:name="_Toc508092232"/>
      <w:r>
        <w:rPr>
          <w:lang w:val="en-US"/>
        </w:rPr>
        <w:t>Training</w:t>
      </w:r>
      <w:bookmarkEnd w:id="8"/>
      <w:bookmarkEnd w:id="9"/>
    </w:p>
    <w:p w14:paraId="31577A76" w14:textId="77777777" w:rsidR="00377F68" w:rsidRDefault="00377F68" w:rsidP="00377F68">
      <w:pPr>
        <w:pStyle w:val="ListParagraph"/>
        <w:numPr>
          <w:ilvl w:val="0"/>
          <w:numId w:val="27"/>
        </w:numPr>
        <w:spacing w:after="0" w:line="240" w:lineRule="auto"/>
        <w:rPr>
          <w:rFonts w:eastAsia="Times New Roman" w:cs="Times New Roman"/>
          <w:lang w:val="en-US"/>
        </w:rPr>
      </w:pPr>
      <w:r>
        <w:rPr>
          <w:rFonts w:eastAsia="Times New Roman" w:cs="Times New Roman"/>
          <w:lang w:val="en-US"/>
        </w:rPr>
        <w:t>Each lab member is to read, agree and sign off on this SOP.</w:t>
      </w:r>
    </w:p>
    <w:p w14:paraId="0401CC53" w14:textId="77777777" w:rsidR="00377F68" w:rsidRPr="00263EEB" w:rsidRDefault="00377F68" w:rsidP="00377F68">
      <w:pPr>
        <w:pStyle w:val="ListParagraph"/>
        <w:numPr>
          <w:ilvl w:val="0"/>
          <w:numId w:val="27"/>
        </w:numPr>
        <w:spacing w:after="0" w:line="240" w:lineRule="auto"/>
        <w:rPr>
          <w:rFonts w:eastAsia="Times New Roman" w:cs="Times New Roman"/>
          <w:lang w:val="en-US"/>
        </w:rPr>
      </w:pPr>
      <w:r>
        <w:rPr>
          <w:rFonts w:eastAsia="Times New Roman" w:cs="Times New Roman"/>
          <w:lang w:val="en-US"/>
        </w:rPr>
        <w:t>Upon revision or re-write, this SOP is to be re-circulated and re-signed by all lab members.</w:t>
      </w:r>
    </w:p>
    <w:p w14:paraId="68817EE1" w14:textId="77777777" w:rsidR="00377F68" w:rsidRPr="00377F68" w:rsidRDefault="00377F68" w:rsidP="00377F68">
      <w:pPr>
        <w:rPr>
          <w:lang w:val="en-US"/>
        </w:rPr>
      </w:pPr>
    </w:p>
    <w:p w14:paraId="3B4EF822" w14:textId="77777777" w:rsidR="008C511E" w:rsidRPr="008C511E" w:rsidRDefault="008C511E" w:rsidP="008C511E"/>
    <w:sectPr w:rsidR="008C511E" w:rsidRPr="008C511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A5CE" w14:textId="77777777" w:rsidR="00145846" w:rsidRDefault="00145846" w:rsidP="00F77950">
      <w:pPr>
        <w:spacing w:after="0" w:line="240" w:lineRule="auto"/>
      </w:pPr>
      <w:r>
        <w:separator/>
      </w:r>
    </w:p>
  </w:endnote>
  <w:endnote w:type="continuationSeparator" w:id="0">
    <w:p w14:paraId="6055A1DA" w14:textId="77777777" w:rsidR="00145846" w:rsidRDefault="00145846" w:rsidP="00F7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375A" w14:textId="77777777" w:rsidR="00F77950" w:rsidRDefault="00F77950" w:rsidP="00F77950">
    <w:pPr>
      <w:pStyle w:val="Footer"/>
      <w:tabs>
        <w:tab w:val="clear" w:pos="4680"/>
      </w:tabs>
      <w:rPr>
        <w:lang w:val="en-US"/>
      </w:rPr>
    </w:pPr>
  </w:p>
  <w:p w14:paraId="52AD5428" w14:textId="51744D0E" w:rsidR="00F77950" w:rsidRPr="00F77950" w:rsidRDefault="00F77950" w:rsidP="00F77950">
    <w:pPr>
      <w:pStyle w:val="Footer"/>
      <w:tabs>
        <w:tab w:val="clear" w:pos="4680"/>
      </w:tabs>
      <w:rPr>
        <w:sz w:val="18"/>
        <w:szCs w:val="18"/>
        <w:lang w:val="en-US"/>
      </w:rPr>
    </w:pPr>
    <w:r w:rsidRPr="00F77950">
      <w:rPr>
        <w:sz w:val="18"/>
        <w:szCs w:val="18"/>
        <w:lang w:val="en-US"/>
      </w:rPr>
      <w:t>SOP 00</w:t>
    </w:r>
    <w:r w:rsidR="008C511E">
      <w:rPr>
        <w:sz w:val="18"/>
        <w:szCs w:val="18"/>
        <w:lang w:val="en-US"/>
      </w:rPr>
      <w:t>2</w:t>
    </w:r>
    <w:r w:rsidR="00BC4843">
      <w:rPr>
        <w:sz w:val="18"/>
        <w:szCs w:val="18"/>
        <w:lang w:val="en-US"/>
      </w:rPr>
      <w:t>2</w:t>
    </w:r>
    <w:r w:rsidR="008C511E">
      <w:rPr>
        <w:sz w:val="18"/>
        <w:szCs w:val="18"/>
        <w:lang w:val="en-US"/>
      </w:rPr>
      <w:t xml:space="preserve"> </w:t>
    </w:r>
    <w:r w:rsidR="00BC4843">
      <w:rPr>
        <w:sz w:val="18"/>
        <w:szCs w:val="18"/>
        <w:lang w:val="en-US"/>
      </w:rPr>
      <w:t>Homogenizers</w:t>
    </w:r>
  </w:p>
  <w:p w14:paraId="2AD82183" w14:textId="4464D066" w:rsidR="00F77950" w:rsidRPr="00F77950" w:rsidRDefault="00F77950" w:rsidP="00F77950">
    <w:pPr>
      <w:pStyle w:val="Footer"/>
      <w:tabs>
        <w:tab w:val="clear" w:pos="4680"/>
      </w:tabs>
      <w:rPr>
        <w:lang w:val="en-US"/>
      </w:rPr>
    </w:pPr>
    <w:r w:rsidRPr="00F77950">
      <w:rPr>
        <w:sz w:val="18"/>
        <w:szCs w:val="18"/>
        <w:lang w:val="en-US"/>
      </w:rPr>
      <w:t>Revised:</w:t>
    </w:r>
    <w:r w:rsidR="00A076CF">
      <w:rPr>
        <w:sz w:val="18"/>
        <w:szCs w:val="18"/>
        <w:lang w:val="en-US"/>
      </w:rPr>
      <w:t xml:space="preserve"> June 29, 2018</w:t>
    </w:r>
    <w:r>
      <w:rPr>
        <w:lang w:val="en-US"/>
      </w:rPr>
      <w:tab/>
      <w:t xml:space="preserve"> Page </w:t>
    </w:r>
    <w:r>
      <w:rPr>
        <w:lang w:val="en-US"/>
      </w:rPr>
      <w:fldChar w:fldCharType="begin"/>
    </w:r>
    <w:r>
      <w:rPr>
        <w:lang w:val="en-US"/>
      </w:rPr>
      <w:instrText xml:space="preserve"> PAGE  \* MERGEFORMAT </w:instrText>
    </w:r>
    <w:r>
      <w:rPr>
        <w:lang w:val="en-US"/>
      </w:rPr>
      <w:fldChar w:fldCharType="separate"/>
    </w:r>
    <w:r w:rsidR="0093408B">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sidR="0093408B">
      <w:rPr>
        <w:noProof/>
        <w:lang w:val="en-US"/>
      </w:rPr>
      <w:t>3</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CA92" w14:textId="77777777" w:rsidR="00145846" w:rsidRDefault="00145846" w:rsidP="00F77950">
      <w:pPr>
        <w:spacing w:after="0" w:line="240" w:lineRule="auto"/>
      </w:pPr>
      <w:r>
        <w:separator/>
      </w:r>
    </w:p>
  </w:footnote>
  <w:footnote w:type="continuationSeparator" w:id="0">
    <w:p w14:paraId="59A97E76" w14:textId="77777777" w:rsidR="00145846" w:rsidRDefault="00145846" w:rsidP="00F77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5B2A"/>
    <w:multiLevelType w:val="hybridMultilevel"/>
    <w:tmpl w:val="688E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F3B51"/>
    <w:multiLevelType w:val="hybridMultilevel"/>
    <w:tmpl w:val="9CBA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666B9"/>
    <w:multiLevelType w:val="hybridMultilevel"/>
    <w:tmpl w:val="17DE1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D753F"/>
    <w:multiLevelType w:val="hybridMultilevel"/>
    <w:tmpl w:val="6A18A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97A34"/>
    <w:multiLevelType w:val="hybridMultilevel"/>
    <w:tmpl w:val="DB32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901F5"/>
    <w:multiLevelType w:val="hybridMultilevel"/>
    <w:tmpl w:val="7FF4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A03F8"/>
    <w:multiLevelType w:val="hybridMultilevel"/>
    <w:tmpl w:val="F496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22159"/>
    <w:multiLevelType w:val="hybridMultilevel"/>
    <w:tmpl w:val="2380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B133F"/>
    <w:multiLevelType w:val="hybridMultilevel"/>
    <w:tmpl w:val="3D3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D3FAB"/>
    <w:multiLevelType w:val="hybridMultilevel"/>
    <w:tmpl w:val="701425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A13A1C"/>
    <w:multiLevelType w:val="hybridMultilevel"/>
    <w:tmpl w:val="E7FC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31541"/>
    <w:multiLevelType w:val="hybridMultilevel"/>
    <w:tmpl w:val="1E3AF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EE054F"/>
    <w:multiLevelType w:val="hybridMultilevel"/>
    <w:tmpl w:val="D32E355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3" w15:restartNumberingAfterBreak="0">
    <w:nsid w:val="2F812235"/>
    <w:multiLevelType w:val="hybridMultilevel"/>
    <w:tmpl w:val="1F6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41CA9"/>
    <w:multiLevelType w:val="hybridMultilevel"/>
    <w:tmpl w:val="6FB04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F3FE4"/>
    <w:multiLevelType w:val="hybridMultilevel"/>
    <w:tmpl w:val="BCAA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EF39FA"/>
    <w:multiLevelType w:val="hybridMultilevel"/>
    <w:tmpl w:val="FBD01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B75AD9"/>
    <w:multiLevelType w:val="hybridMultilevel"/>
    <w:tmpl w:val="209A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5056DA"/>
    <w:multiLevelType w:val="hybridMultilevel"/>
    <w:tmpl w:val="6206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75C31"/>
    <w:multiLevelType w:val="hybridMultilevel"/>
    <w:tmpl w:val="99D61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467F44"/>
    <w:multiLevelType w:val="hybridMultilevel"/>
    <w:tmpl w:val="3D8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748A6"/>
    <w:multiLevelType w:val="hybridMultilevel"/>
    <w:tmpl w:val="A6B63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6133D"/>
    <w:multiLevelType w:val="hybridMultilevel"/>
    <w:tmpl w:val="608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629C6"/>
    <w:multiLevelType w:val="hybridMultilevel"/>
    <w:tmpl w:val="92C88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6777C9"/>
    <w:multiLevelType w:val="hybridMultilevel"/>
    <w:tmpl w:val="70DAE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117104"/>
    <w:multiLevelType w:val="hybridMultilevel"/>
    <w:tmpl w:val="EBC44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16"/>
  </w:num>
  <w:num w:numId="4">
    <w:abstractNumId w:val="24"/>
  </w:num>
  <w:num w:numId="5">
    <w:abstractNumId w:val="9"/>
  </w:num>
  <w:num w:numId="6">
    <w:abstractNumId w:val="12"/>
  </w:num>
  <w:num w:numId="7">
    <w:abstractNumId w:val="14"/>
  </w:num>
  <w:num w:numId="8">
    <w:abstractNumId w:val="17"/>
  </w:num>
  <w:num w:numId="9">
    <w:abstractNumId w:val="7"/>
  </w:num>
  <w:num w:numId="10">
    <w:abstractNumId w:val="20"/>
  </w:num>
  <w:num w:numId="11">
    <w:abstractNumId w:val="6"/>
  </w:num>
  <w:num w:numId="12">
    <w:abstractNumId w:val="2"/>
  </w:num>
  <w:num w:numId="13">
    <w:abstractNumId w:val="15"/>
  </w:num>
  <w:num w:numId="14">
    <w:abstractNumId w:val="10"/>
  </w:num>
  <w:num w:numId="15">
    <w:abstractNumId w:val="8"/>
  </w:num>
  <w:num w:numId="16">
    <w:abstractNumId w:val="5"/>
  </w:num>
  <w:num w:numId="17">
    <w:abstractNumId w:val="13"/>
  </w:num>
  <w:num w:numId="18">
    <w:abstractNumId w:val="26"/>
  </w:num>
  <w:num w:numId="19">
    <w:abstractNumId w:val="3"/>
  </w:num>
  <w:num w:numId="20">
    <w:abstractNumId w:val="22"/>
  </w:num>
  <w:num w:numId="21">
    <w:abstractNumId w:val="21"/>
  </w:num>
  <w:num w:numId="22">
    <w:abstractNumId w:val="4"/>
  </w:num>
  <w:num w:numId="23">
    <w:abstractNumId w:val="0"/>
  </w:num>
  <w:num w:numId="24">
    <w:abstractNumId w:val="23"/>
  </w:num>
  <w:num w:numId="25">
    <w:abstractNumId w:val="1"/>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BA9"/>
    <w:rsid w:val="000246F7"/>
    <w:rsid w:val="00025008"/>
    <w:rsid w:val="000466D1"/>
    <w:rsid w:val="00051EDA"/>
    <w:rsid w:val="00057BA6"/>
    <w:rsid w:val="00096709"/>
    <w:rsid w:val="000A2335"/>
    <w:rsid w:val="000F10A5"/>
    <w:rsid w:val="00114F95"/>
    <w:rsid w:val="00145846"/>
    <w:rsid w:val="00172B9A"/>
    <w:rsid w:val="001C3772"/>
    <w:rsid w:val="001C5AE3"/>
    <w:rsid w:val="001D3191"/>
    <w:rsid w:val="001F3D03"/>
    <w:rsid w:val="00214C25"/>
    <w:rsid w:val="00223583"/>
    <w:rsid w:val="0022576A"/>
    <w:rsid w:val="00241918"/>
    <w:rsid w:val="002439DD"/>
    <w:rsid w:val="002640E2"/>
    <w:rsid w:val="00266563"/>
    <w:rsid w:val="00271C70"/>
    <w:rsid w:val="0031243D"/>
    <w:rsid w:val="00322203"/>
    <w:rsid w:val="0033289C"/>
    <w:rsid w:val="0035196E"/>
    <w:rsid w:val="00364E3A"/>
    <w:rsid w:val="00377F68"/>
    <w:rsid w:val="003D0C4D"/>
    <w:rsid w:val="003E1A86"/>
    <w:rsid w:val="003E20D3"/>
    <w:rsid w:val="004009E6"/>
    <w:rsid w:val="004121E5"/>
    <w:rsid w:val="004141A9"/>
    <w:rsid w:val="00423E18"/>
    <w:rsid w:val="00426930"/>
    <w:rsid w:val="00432CDF"/>
    <w:rsid w:val="00433DB4"/>
    <w:rsid w:val="00456A0F"/>
    <w:rsid w:val="004737F9"/>
    <w:rsid w:val="004D75FE"/>
    <w:rsid w:val="004E0377"/>
    <w:rsid w:val="00504485"/>
    <w:rsid w:val="00513BA9"/>
    <w:rsid w:val="0052317A"/>
    <w:rsid w:val="00533E0F"/>
    <w:rsid w:val="00562350"/>
    <w:rsid w:val="00596230"/>
    <w:rsid w:val="005A122F"/>
    <w:rsid w:val="005D5F6C"/>
    <w:rsid w:val="0060021C"/>
    <w:rsid w:val="00614E8A"/>
    <w:rsid w:val="00637EDA"/>
    <w:rsid w:val="006A1F73"/>
    <w:rsid w:val="006A548E"/>
    <w:rsid w:val="006B2D0F"/>
    <w:rsid w:val="006D001B"/>
    <w:rsid w:val="006D2453"/>
    <w:rsid w:val="006D3DFF"/>
    <w:rsid w:val="006F0548"/>
    <w:rsid w:val="006F2F72"/>
    <w:rsid w:val="007006DF"/>
    <w:rsid w:val="00716926"/>
    <w:rsid w:val="00724BEE"/>
    <w:rsid w:val="00760D62"/>
    <w:rsid w:val="00784232"/>
    <w:rsid w:val="007B13C5"/>
    <w:rsid w:val="00806E36"/>
    <w:rsid w:val="008174C2"/>
    <w:rsid w:val="008225D2"/>
    <w:rsid w:val="0086261B"/>
    <w:rsid w:val="008759A3"/>
    <w:rsid w:val="0088560D"/>
    <w:rsid w:val="008C511E"/>
    <w:rsid w:val="009012F1"/>
    <w:rsid w:val="0093408B"/>
    <w:rsid w:val="00944930"/>
    <w:rsid w:val="00944E08"/>
    <w:rsid w:val="009670E5"/>
    <w:rsid w:val="009D08B6"/>
    <w:rsid w:val="009D6D34"/>
    <w:rsid w:val="00A06F65"/>
    <w:rsid w:val="00A076CF"/>
    <w:rsid w:val="00A111D4"/>
    <w:rsid w:val="00A23F1D"/>
    <w:rsid w:val="00A42050"/>
    <w:rsid w:val="00A5032D"/>
    <w:rsid w:val="00A54494"/>
    <w:rsid w:val="00A96A65"/>
    <w:rsid w:val="00A96BEF"/>
    <w:rsid w:val="00AC7931"/>
    <w:rsid w:val="00AD6DA2"/>
    <w:rsid w:val="00B01A7F"/>
    <w:rsid w:val="00B47DDA"/>
    <w:rsid w:val="00B546FD"/>
    <w:rsid w:val="00B65B62"/>
    <w:rsid w:val="00BC4843"/>
    <w:rsid w:val="00BD13D3"/>
    <w:rsid w:val="00BD54F8"/>
    <w:rsid w:val="00BE4823"/>
    <w:rsid w:val="00C057E4"/>
    <w:rsid w:val="00C074FB"/>
    <w:rsid w:val="00C16285"/>
    <w:rsid w:val="00C80A97"/>
    <w:rsid w:val="00CC02C7"/>
    <w:rsid w:val="00D011D6"/>
    <w:rsid w:val="00D113BE"/>
    <w:rsid w:val="00D453B1"/>
    <w:rsid w:val="00D46516"/>
    <w:rsid w:val="00D544EF"/>
    <w:rsid w:val="00D93CA5"/>
    <w:rsid w:val="00D94E8E"/>
    <w:rsid w:val="00DB3A0B"/>
    <w:rsid w:val="00DC4504"/>
    <w:rsid w:val="00DE2CB6"/>
    <w:rsid w:val="00DF3A35"/>
    <w:rsid w:val="00E32F61"/>
    <w:rsid w:val="00E35943"/>
    <w:rsid w:val="00E575B5"/>
    <w:rsid w:val="00E7202D"/>
    <w:rsid w:val="00E72D03"/>
    <w:rsid w:val="00EA5F84"/>
    <w:rsid w:val="00EB4CF7"/>
    <w:rsid w:val="00EF69B4"/>
    <w:rsid w:val="00F03EC1"/>
    <w:rsid w:val="00F25B6A"/>
    <w:rsid w:val="00F67C8E"/>
    <w:rsid w:val="00F77950"/>
    <w:rsid w:val="00FC329B"/>
    <w:rsid w:val="00FD4BF6"/>
    <w:rsid w:val="00FE4CC5"/>
    <w:rsid w:val="00FE4D3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641FB"/>
  <w15:docId w15:val="{DACAA340-87E3-EF42-8232-8407272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3C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5"/>
    <w:pPr>
      <w:ind w:left="720"/>
      <w:contextualSpacing/>
    </w:pPr>
  </w:style>
  <w:style w:type="character" w:customStyle="1" w:styleId="Heading1Char">
    <w:name w:val="Heading 1 Char"/>
    <w:basedOn w:val="DefaultParagraphFont"/>
    <w:link w:val="Heading1"/>
    <w:uiPriority w:val="9"/>
    <w:rsid w:val="00D9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3C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3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3CA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C329B"/>
    <w:pPr>
      <w:outlineLvl w:val="9"/>
    </w:pPr>
    <w:rPr>
      <w:lang w:val="en-US" w:eastAsia="ja-JP"/>
    </w:rPr>
  </w:style>
  <w:style w:type="paragraph" w:styleId="TOC1">
    <w:name w:val="toc 1"/>
    <w:basedOn w:val="Normal"/>
    <w:next w:val="Normal"/>
    <w:autoRedefine/>
    <w:uiPriority w:val="39"/>
    <w:unhideWhenUsed/>
    <w:rsid w:val="00FC329B"/>
    <w:pPr>
      <w:spacing w:after="100"/>
    </w:pPr>
  </w:style>
  <w:style w:type="paragraph" w:styleId="TOC2">
    <w:name w:val="toc 2"/>
    <w:basedOn w:val="Normal"/>
    <w:next w:val="Normal"/>
    <w:autoRedefine/>
    <w:uiPriority w:val="39"/>
    <w:unhideWhenUsed/>
    <w:rsid w:val="00FC329B"/>
    <w:pPr>
      <w:spacing w:after="100"/>
      <w:ind w:left="220"/>
    </w:pPr>
  </w:style>
  <w:style w:type="character" w:styleId="Hyperlink">
    <w:name w:val="Hyperlink"/>
    <w:basedOn w:val="DefaultParagraphFont"/>
    <w:uiPriority w:val="99"/>
    <w:unhideWhenUsed/>
    <w:rsid w:val="00FC329B"/>
    <w:rPr>
      <w:color w:val="0000FF" w:themeColor="hyperlink"/>
      <w:u w:val="single"/>
    </w:rPr>
  </w:style>
  <w:style w:type="paragraph" w:styleId="BalloonText">
    <w:name w:val="Balloon Text"/>
    <w:basedOn w:val="Normal"/>
    <w:link w:val="BalloonTextChar"/>
    <w:uiPriority w:val="99"/>
    <w:semiHidden/>
    <w:unhideWhenUsed/>
    <w:rsid w:val="00FC3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9B"/>
    <w:rPr>
      <w:rFonts w:ascii="Tahoma" w:hAnsi="Tahoma" w:cs="Tahoma"/>
      <w:sz w:val="16"/>
      <w:szCs w:val="16"/>
    </w:rPr>
  </w:style>
  <w:style w:type="paragraph" w:styleId="Header">
    <w:name w:val="header"/>
    <w:basedOn w:val="Normal"/>
    <w:link w:val="HeaderChar"/>
    <w:uiPriority w:val="99"/>
    <w:unhideWhenUsed/>
    <w:rsid w:val="00F7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50"/>
  </w:style>
  <w:style w:type="paragraph" w:styleId="Footer">
    <w:name w:val="footer"/>
    <w:basedOn w:val="Normal"/>
    <w:link w:val="FooterChar"/>
    <w:uiPriority w:val="99"/>
    <w:unhideWhenUsed/>
    <w:rsid w:val="00F7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950"/>
  </w:style>
  <w:style w:type="paragraph" w:styleId="NoSpacing">
    <w:name w:val="No Spacing"/>
    <w:uiPriority w:val="1"/>
    <w:qFormat/>
    <w:rsid w:val="008C5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3655">
      <w:bodyDiv w:val="1"/>
      <w:marLeft w:val="0"/>
      <w:marRight w:val="0"/>
      <w:marTop w:val="0"/>
      <w:marBottom w:val="0"/>
      <w:divBdr>
        <w:top w:val="none" w:sz="0" w:space="0" w:color="auto"/>
        <w:left w:val="none" w:sz="0" w:space="0" w:color="auto"/>
        <w:bottom w:val="none" w:sz="0" w:space="0" w:color="auto"/>
        <w:right w:val="none" w:sz="0" w:space="0" w:color="auto"/>
      </w:divBdr>
    </w:div>
    <w:div w:id="182784652">
      <w:bodyDiv w:val="1"/>
      <w:marLeft w:val="0"/>
      <w:marRight w:val="0"/>
      <w:marTop w:val="0"/>
      <w:marBottom w:val="0"/>
      <w:divBdr>
        <w:top w:val="none" w:sz="0" w:space="0" w:color="auto"/>
        <w:left w:val="none" w:sz="0" w:space="0" w:color="auto"/>
        <w:bottom w:val="none" w:sz="0" w:space="0" w:color="auto"/>
        <w:right w:val="none" w:sz="0" w:space="0" w:color="auto"/>
      </w:divBdr>
    </w:div>
    <w:div w:id="190729429">
      <w:bodyDiv w:val="1"/>
      <w:marLeft w:val="0"/>
      <w:marRight w:val="0"/>
      <w:marTop w:val="0"/>
      <w:marBottom w:val="0"/>
      <w:divBdr>
        <w:top w:val="none" w:sz="0" w:space="0" w:color="auto"/>
        <w:left w:val="none" w:sz="0" w:space="0" w:color="auto"/>
        <w:bottom w:val="none" w:sz="0" w:space="0" w:color="auto"/>
        <w:right w:val="none" w:sz="0" w:space="0" w:color="auto"/>
      </w:divBdr>
    </w:div>
    <w:div w:id="339085491">
      <w:bodyDiv w:val="1"/>
      <w:marLeft w:val="0"/>
      <w:marRight w:val="0"/>
      <w:marTop w:val="0"/>
      <w:marBottom w:val="0"/>
      <w:divBdr>
        <w:top w:val="none" w:sz="0" w:space="0" w:color="auto"/>
        <w:left w:val="none" w:sz="0" w:space="0" w:color="auto"/>
        <w:bottom w:val="none" w:sz="0" w:space="0" w:color="auto"/>
        <w:right w:val="none" w:sz="0" w:space="0" w:color="auto"/>
      </w:divBdr>
    </w:div>
    <w:div w:id="1273709530">
      <w:bodyDiv w:val="1"/>
      <w:marLeft w:val="0"/>
      <w:marRight w:val="0"/>
      <w:marTop w:val="0"/>
      <w:marBottom w:val="0"/>
      <w:divBdr>
        <w:top w:val="none" w:sz="0" w:space="0" w:color="auto"/>
        <w:left w:val="none" w:sz="0" w:space="0" w:color="auto"/>
        <w:bottom w:val="none" w:sz="0" w:space="0" w:color="auto"/>
        <w:right w:val="none" w:sz="0" w:space="0" w:color="auto"/>
      </w:divBdr>
    </w:div>
    <w:div w:id="21066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EDA8-C712-0A4A-9254-8C974B33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keywords>biosafety; culture; aspirator; setup; cleaning</cp:keywords>
  <dc:description>Please modify this SOP to contain information specific to your own laboratory. Please ensure this SOP is reviewed annually by the supervisor.</dc:description>
  <cp:lastModifiedBy>J R</cp:lastModifiedBy>
  <cp:revision>11</cp:revision>
  <dcterms:created xsi:type="dcterms:W3CDTF">2016-03-25T05:39:00Z</dcterms:created>
  <dcterms:modified xsi:type="dcterms:W3CDTF">2018-06-30T01:59:00Z</dcterms:modified>
</cp:coreProperties>
</file>